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7" w:rsidRDefault="00232D75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Příloha č. 2 </w:t>
      </w:r>
    </w:p>
    <w:p w:rsidR="00B542D9" w:rsidRPr="000837C4" w:rsidRDefault="00B542D9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AC56F2" w:rsidRPr="000837C4" w:rsidRDefault="00B542D9" w:rsidP="000837C4">
      <w:pPr>
        <w:spacing w:after="60"/>
        <w:ind w:left="360" w:hanging="360"/>
        <w:jc w:val="center"/>
        <w:outlineLvl w:val="1"/>
        <w:rPr>
          <w:color w:val="00000A"/>
          <w:sz w:val="36"/>
          <w:szCs w:val="36"/>
          <w:lang w:eastAsia="en-US"/>
        </w:rPr>
      </w:pPr>
      <w:r>
        <w:rPr>
          <w:color w:val="00000A"/>
          <w:sz w:val="36"/>
          <w:szCs w:val="36"/>
          <w:lang w:eastAsia="en-US"/>
        </w:rPr>
        <w:t>Kupní s</w:t>
      </w:r>
      <w:r w:rsidR="00AC56F2" w:rsidRPr="000837C4">
        <w:rPr>
          <w:color w:val="00000A"/>
          <w:sz w:val="36"/>
          <w:szCs w:val="36"/>
          <w:lang w:eastAsia="en-US"/>
        </w:rPr>
        <w:t xml:space="preserve">mlouva č. 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AC56F2" w:rsidRPr="000837C4" w:rsidRDefault="00AC56F2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0837C4">
        <w:rPr>
          <w:rFonts w:ascii="Calibri" w:eastAsia="Calibri" w:hAnsi="Calibri"/>
          <w:sz w:val="22"/>
          <w:szCs w:val="22"/>
          <w:lang w:eastAsia="en-US"/>
        </w:rPr>
        <w:t xml:space="preserve">uzavřená dle ustanovení </w:t>
      </w:r>
      <w:r w:rsidR="00C84862" w:rsidRPr="000837C4">
        <w:rPr>
          <w:rFonts w:ascii="Calibri" w:eastAsia="Calibri" w:hAnsi="Calibri"/>
          <w:sz w:val="22"/>
          <w:szCs w:val="22"/>
          <w:lang w:eastAsia="en-US"/>
        </w:rPr>
        <w:t>§</w:t>
      </w:r>
      <w:r w:rsidR="00050C4D">
        <w:rPr>
          <w:rFonts w:ascii="Calibri" w:eastAsia="Calibri" w:hAnsi="Calibri"/>
          <w:sz w:val="22"/>
          <w:szCs w:val="22"/>
          <w:lang w:eastAsia="en-US"/>
        </w:rPr>
        <w:t xml:space="preserve"> 2079</w:t>
      </w:r>
      <w:r w:rsidR="00C84862" w:rsidRPr="000837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37C4">
        <w:rPr>
          <w:rFonts w:ascii="Calibri" w:eastAsia="Calibri" w:hAnsi="Calibri"/>
          <w:sz w:val="22"/>
          <w:szCs w:val="22"/>
          <w:lang w:eastAsia="en-US"/>
        </w:rPr>
        <w:t xml:space="preserve">a násl. zákona č. </w:t>
      </w:r>
      <w:r w:rsidR="00050C4D">
        <w:rPr>
          <w:rFonts w:ascii="Calibri" w:eastAsia="Calibri" w:hAnsi="Calibri"/>
          <w:sz w:val="22"/>
          <w:szCs w:val="22"/>
          <w:lang w:eastAsia="en-US"/>
        </w:rPr>
        <w:t>89</w:t>
      </w:r>
      <w:r w:rsidRPr="000837C4">
        <w:rPr>
          <w:rFonts w:ascii="Calibri" w:eastAsia="Calibri" w:hAnsi="Calibri"/>
          <w:sz w:val="22"/>
          <w:szCs w:val="22"/>
          <w:lang w:eastAsia="en-US"/>
        </w:rPr>
        <w:t>/</w:t>
      </w:r>
      <w:r w:rsidR="00050C4D">
        <w:rPr>
          <w:rFonts w:ascii="Calibri" w:eastAsia="Calibri" w:hAnsi="Calibri"/>
          <w:sz w:val="22"/>
          <w:szCs w:val="22"/>
          <w:lang w:eastAsia="en-US"/>
        </w:rPr>
        <w:t>2012</w:t>
      </w:r>
      <w:r w:rsidRPr="000837C4">
        <w:rPr>
          <w:rFonts w:ascii="Calibri" w:eastAsia="Calibri" w:hAnsi="Calibri"/>
          <w:sz w:val="22"/>
          <w:szCs w:val="22"/>
          <w:lang w:eastAsia="en-US"/>
        </w:rPr>
        <w:t>, ob</w:t>
      </w:r>
      <w:r w:rsidR="00050C4D">
        <w:rPr>
          <w:rFonts w:ascii="Calibri" w:eastAsia="Calibri" w:hAnsi="Calibri"/>
          <w:sz w:val="22"/>
          <w:szCs w:val="22"/>
          <w:lang w:eastAsia="en-US"/>
        </w:rPr>
        <w:t>čanský</w:t>
      </w:r>
      <w:r w:rsidRPr="000837C4">
        <w:rPr>
          <w:rFonts w:ascii="Calibri" w:eastAsia="Calibri" w:hAnsi="Calibri"/>
          <w:sz w:val="22"/>
          <w:szCs w:val="22"/>
          <w:lang w:eastAsia="en-US"/>
        </w:rPr>
        <w:t xml:space="preserve"> zákoník, v platném znění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>Smluvní strany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4079AB" w:rsidRPr="002125D7" w:rsidRDefault="00A155B0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A155B0">
        <w:rPr>
          <w:rFonts w:ascii="Calibri" w:eastAsia="Calibri" w:hAnsi="Calibri"/>
          <w:b/>
          <w:bCs/>
          <w:sz w:val="22"/>
          <w:szCs w:val="22"/>
          <w:lang w:eastAsia="en-US"/>
        </w:rPr>
        <w:t>Svazek obcí Mezihoří</w:t>
      </w:r>
    </w:p>
    <w:p w:rsidR="004079AB" w:rsidRPr="002125D7" w:rsidRDefault="00EA2A24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Se </w:t>
      </w:r>
      <w:r w:rsidR="004079AB" w:rsidRPr="00EA2A24">
        <w:rPr>
          <w:rFonts w:ascii="Calibri" w:eastAsia="Calibri" w:hAnsi="Calibri"/>
          <w:b/>
          <w:sz w:val="22"/>
          <w:szCs w:val="22"/>
          <w:lang w:eastAsia="en-US"/>
        </w:rPr>
        <w:t>sídlem</w:t>
      </w:r>
      <w:r w:rsidR="004079AB" w:rsidRPr="002125D7">
        <w:rPr>
          <w:rFonts w:ascii="Calibri" w:eastAsia="Calibri" w:hAnsi="Calibri"/>
          <w:sz w:val="22"/>
          <w:szCs w:val="22"/>
          <w:lang w:eastAsia="en-US"/>
        </w:rPr>
        <w:t>:</w:t>
      </w:r>
      <w:r w:rsidR="004079AB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4079AB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A155B0" w:rsidRPr="00A155B0">
        <w:rPr>
          <w:rFonts w:ascii="Calibri" w:eastAsia="Calibri" w:hAnsi="Calibri"/>
          <w:bCs/>
          <w:sz w:val="22"/>
          <w:szCs w:val="22"/>
          <w:lang w:eastAsia="en-US"/>
        </w:rPr>
        <w:t>Nemotice 66, 683 33 Nesovice</w:t>
      </w:r>
    </w:p>
    <w:p w:rsidR="004079AB" w:rsidRPr="002125D7" w:rsidRDefault="004079AB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2125D7">
        <w:rPr>
          <w:rFonts w:ascii="Calibri" w:eastAsia="Calibri" w:hAnsi="Calibri"/>
          <w:sz w:val="22"/>
          <w:szCs w:val="22"/>
          <w:lang w:eastAsia="en-US"/>
        </w:rPr>
        <w:t>IČ:</w:t>
      </w:r>
      <w:r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AD0BA5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A155B0" w:rsidRPr="00A155B0">
        <w:rPr>
          <w:rFonts w:ascii="Calibri" w:eastAsia="Calibri" w:hAnsi="Calibri"/>
          <w:bCs/>
          <w:sz w:val="22"/>
          <w:szCs w:val="22"/>
          <w:lang w:eastAsia="en-US"/>
        </w:rPr>
        <w:t>750</w:t>
      </w:r>
      <w:r w:rsidR="00564DC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A155B0" w:rsidRPr="00A155B0">
        <w:rPr>
          <w:rFonts w:ascii="Calibri" w:eastAsia="Calibri" w:hAnsi="Calibri"/>
          <w:bCs/>
          <w:sz w:val="22"/>
          <w:szCs w:val="22"/>
          <w:lang w:eastAsia="en-US"/>
        </w:rPr>
        <w:t>70</w:t>
      </w:r>
      <w:r w:rsidR="00564DC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A155B0" w:rsidRPr="00A155B0">
        <w:rPr>
          <w:rFonts w:ascii="Calibri" w:eastAsia="Calibri" w:hAnsi="Calibri"/>
          <w:bCs/>
          <w:sz w:val="22"/>
          <w:szCs w:val="22"/>
          <w:lang w:eastAsia="en-US"/>
        </w:rPr>
        <w:t>065</w:t>
      </w:r>
    </w:p>
    <w:p w:rsidR="006E21E9" w:rsidRPr="002125D7" w:rsidRDefault="00232D75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Zastoupená</w:t>
      </w:r>
      <w:r w:rsidR="006E21E9" w:rsidRPr="002125D7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6E21E9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0837C4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A155B0">
        <w:rPr>
          <w:rFonts w:ascii="Calibri" w:eastAsia="Calibri" w:hAnsi="Calibri"/>
          <w:sz w:val="22"/>
          <w:szCs w:val="22"/>
          <w:lang w:eastAsia="en-US"/>
        </w:rPr>
        <w:t>Miloslavem Masaříkem</w:t>
      </w:r>
      <w:r w:rsidR="00DB05F7">
        <w:rPr>
          <w:rFonts w:ascii="Calibri" w:eastAsia="Calibri" w:hAnsi="Calibri"/>
          <w:sz w:val="22"/>
          <w:szCs w:val="22"/>
          <w:lang w:eastAsia="en-US"/>
        </w:rPr>
        <w:t>, předsedou</w:t>
      </w:r>
    </w:p>
    <w:p w:rsidR="004079AB" w:rsidRPr="002125D7" w:rsidRDefault="004079AB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2125D7">
        <w:rPr>
          <w:rFonts w:ascii="Calibri" w:eastAsia="Calibri" w:hAnsi="Calibri"/>
          <w:sz w:val="22"/>
          <w:szCs w:val="22"/>
          <w:lang w:eastAsia="en-US"/>
        </w:rPr>
        <w:t>Bankovní spojení:</w:t>
      </w:r>
      <w:r w:rsidR="006E21E9" w:rsidRPr="002125D7">
        <w:rPr>
          <w:rFonts w:ascii="Calibri" w:eastAsia="Calibri" w:hAnsi="Calibri"/>
          <w:sz w:val="22"/>
          <w:szCs w:val="22"/>
          <w:lang w:eastAsia="en-US"/>
        </w:rPr>
        <w:tab/>
      </w:r>
      <w:r w:rsidR="00EA2A24">
        <w:rPr>
          <w:rFonts w:ascii="Calibri" w:eastAsia="Calibri" w:hAnsi="Calibri"/>
          <w:b/>
          <w:sz w:val="22"/>
          <w:szCs w:val="22"/>
          <w:lang w:eastAsia="en-US"/>
        </w:rPr>
        <w:t xml:space="preserve">KB, a.s. pobočka </w:t>
      </w:r>
      <w:r w:rsidR="00232D75">
        <w:rPr>
          <w:rFonts w:ascii="Calibri" w:eastAsia="Calibri" w:hAnsi="Calibri"/>
          <w:b/>
          <w:sz w:val="22"/>
          <w:szCs w:val="22"/>
          <w:lang w:eastAsia="en-US"/>
        </w:rPr>
        <w:t>Vyškov</w:t>
      </w:r>
    </w:p>
    <w:p w:rsidR="004079AB" w:rsidRPr="000837C4" w:rsidRDefault="004079AB" w:rsidP="000837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2125D7">
        <w:rPr>
          <w:rFonts w:ascii="Calibri" w:eastAsia="Calibri" w:hAnsi="Calibri"/>
          <w:sz w:val="22"/>
          <w:szCs w:val="22"/>
          <w:lang w:eastAsia="en-US"/>
        </w:rPr>
        <w:t>Číslo účtu:</w:t>
      </w:r>
      <w:r w:rsidR="006E21E9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6E21E9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EA2A24">
        <w:rPr>
          <w:rFonts w:ascii="Calibri" w:eastAsia="Calibri" w:hAnsi="Calibri"/>
          <w:b/>
          <w:sz w:val="22"/>
          <w:szCs w:val="22"/>
          <w:lang w:eastAsia="en-US"/>
        </w:rPr>
        <w:t>35-4452420207/0100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 xml:space="preserve">(dále jen </w:t>
      </w:r>
      <w:r w:rsidR="004B0683">
        <w:rPr>
          <w:rFonts w:ascii="Calibri" w:eastAsia="Calibri" w:hAnsi="Calibri"/>
          <w:b/>
          <w:sz w:val="22"/>
          <w:szCs w:val="22"/>
          <w:lang w:eastAsia="en-US"/>
        </w:rPr>
        <w:t>kupující</w:t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>a</w:t>
      </w:r>
    </w:p>
    <w:p w:rsidR="00AC56F2" w:rsidRPr="000837C4" w:rsidRDefault="00AC56F2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</w:p>
    <w:p w:rsidR="00AC56F2" w:rsidRPr="000837C4" w:rsidRDefault="004549AE" w:rsidP="00564DC4">
      <w:pPr>
        <w:spacing w:after="24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Firma:</w:t>
      </w:r>
      <w:r w:rsidR="00232D75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</w:t>
      </w:r>
    </w:p>
    <w:p w:rsidR="00AC56F2" w:rsidRPr="000837C4" w:rsidRDefault="00AC56F2" w:rsidP="00564DC4">
      <w:pPr>
        <w:spacing w:after="240"/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 xml:space="preserve">se sídlem: </w:t>
      </w:r>
      <w:r w:rsidR="00232D75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…………………………………….</w:t>
      </w:r>
      <w:r w:rsidR="004D2BD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D2BD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AC56F2" w:rsidRPr="000837C4" w:rsidRDefault="00564DC4" w:rsidP="00564D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>IČ:</w:t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82159F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64DC4" w:rsidRDefault="00AC56F2" w:rsidP="00564D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0837C4">
        <w:rPr>
          <w:rFonts w:ascii="Calibri" w:eastAsia="Calibri" w:hAnsi="Calibri"/>
          <w:sz w:val="22"/>
          <w:szCs w:val="22"/>
          <w:lang w:eastAsia="en-US"/>
        </w:rPr>
        <w:t>DIČ:</w:t>
      </w:r>
    </w:p>
    <w:p w:rsidR="00AC56F2" w:rsidRPr="000837C4" w:rsidRDefault="00564DC4" w:rsidP="00564D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Zastoupená:</w:t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C56F2" w:rsidRPr="000837C4" w:rsidRDefault="00564DC4" w:rsidP="00564D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</w:t>
      </w:r>
      <w:r w:rsidR="00AC56F2" w:rsidRPr="000837C4">
        <w:rPr>
          <w:rFonts w:ascii="Calibri" w:eastAsia="Calibri" w:hAnsi="Calibri"/>
          <w:sz w:val="22"/>
          <w:szCs w:val="22"/>
          <w:lang w:eastAsia="en-US"/>
        </w:rPr>
        <w:t>ankovní spojení:</w:t>
      </w:r>
      <w:r w:rsidR="0082159F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C56F2" w:rsidRPr="000837C4" w:rsidRDefault="00AC56F2" w:rsidP="00564DC4">
      <w:pPr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0837C4">
        <w:rPr>
          <w:rFonts w:ascii="Calibri" w:eastAsia="Calibri" w:hAnsi="Calibri"/>
          <w:sz w:val="22"/>
          <w:szCs w:val="22"/>
          <w:lang w:eastAsia="en-US"/>
        </w:rPr>
        <w:t xml:space="preserve">č. účtu: </w:t>
      </w:r>
      <w:r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82159F" w:rsidRPr="000837C4">
        <w:rPr>
          <w:rFonts w:ascii="Calibri" w:eastAsia="Calibri" w:hAnsi="Calibri"/>
          <w:sz w:val="22"/>
          <w:szCs w:val="22"/>
          <w:lang w:eastAsia="en-US"/>
        </w:rPr>
        <w:tab/>
      </w:r>
      <w:r w:rsidR="000837C4">
        <w:rPr>
          <w:rFonts w:ascii="Calibri" w:eastAsia="Calibri" w:hAnsi="Calibri"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C56F2" w:rsidRPr="000837C4" w:rsidRDefault="004549AE" w:rsidP="000837C4">
      <w:pPr>
        <w:ind w:left="357" w:hanging="357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56F2" w:rsidRPr="000837C4">
        <w:rPr>
          <w:rFonts w:ascii="Calibri" w:eastAsia="Calibri" w:hAnsi="Calibri"/>
          <w:b/>
          <w:sz w:val="22"/>
          <w:szCs w:val="22"/>
          <w:lang w:eastAsia="en-US"/>
        </w:rPr>
        <w:t xml:space="preserve">(dále jen </w:t>
      </w:r>
      <w:r w:rsidR="004B0683">
        <w:rPr>
          <w:rFonts w:ascii="Calibri" w:eastAsia="Calibri" w:hAnsi="Calibri"/>
          <w:b/>
          <w:sz w:val="22"/>
          <w:szCs w:val="22"/>
          <w:lang w:eastAsia="en-US"/>
        </w:rPr>
        <w:t>prodávající</w:t>
      </w:r>
      <w:r w:rsidR="00AC56F2" w:rsidRPr="000837C4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:rsidR="00543CC5" w:rsidRPr="000837C4" w:rsidRDefault="00543CC5">
      <w:pPr>
        <w:ind w:left="708"/>
        <w:rPr>
          <w:rFonts w:ascii="Calibri" w:eastAsia="Calibri" w:hAnsi="Calibri"/>
          <w:sz w:val="22"/>
          <w:szCs w:val="22"/>
          <w:lang w:eastAsia="en-US"/>
        </w:rPr>
      </w:pPr>
    </w:p>
    <w:p w:rsidR="000837C4" w:rsidRPr="000837C4" w:rsidRDefault="000837C4" w:rsidP="000837C4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0837C4" w:rsidRPr="000837C4" w:rsidRDefault="000837C4" w:rsidP="000837C4">
      <w:pPr>
        <w:ind w:left="720"/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iCs/>
          <w:sz w:val="22"/>
          <w:szCs w:val="22"/>
          <w:lang w:eastAsia="en-US"/>
        </w:rPr>
        <w:t>Předmět a rozsah smlouvy</w:t>
      </w:r>
    </w:p>
    <w:p w:rsidR="00E42004" w:rsidRPr="00E42004" w:rsidRDefault="00D45B06" w:rsidP="00E4200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bCs/>
          <w:sz w:val="22"/>
          <w:szCs w:val="22"/>
          <w:lang w:eastAsia="en-US"/>
        </w:rPr>
        <w:t xml:space="preserve">Předmětem této kupní smlouvy je </w:t>
      </w:r>
      <w:r w:rsidR="00E42004">
        <w:rPr>
          <w:rFonts w:ascii="Calibri" w:eastAsia="Calibri" w:hAnsi="Calibri"/>
          <w:bCs/>
          <w:sz w:val="22"/>
          <w:szCs w:val="22"/>
          <w:lang w:eastAsia="en-US"/>
        </w:rPr>
        <w:t xml:space="preserve">dodávka: </w:t>
      </w:r>
    </w:p>
    <w:p w:rsidR="00E42004" w:rsidRPr="00E42004" w:rsidRDefault="004549AE" w:rsidP="00E42004">
      <w:pPr>
        <w:pStyle w:val="Odstavecseseznamem"/>
        <w:numPr>
          <w:ilvl w:val="2"/>
          <w:numId w:val="23"/>
        </w:numPr>
        <w:tabs>
          <w:tab w:val="clear" w:pos="720"/>
          <w:tab w:val="clear" w:pos="3396"/>
        </w:tabs>
        <w:spacing w:after="240"/>
        <w:ind w:left="567" w:firstLine="0"/>
        <w:rPr>
          <w:rFonts w:ascii="Calibri" w:eastAsia="Calibri" w:hAnsi="Calibri"/>
          <w:szCs w:val="22"/>
          <w:lang w:eastAsia="en-US"/>
        </w:rPr>
      </w:pPr>
      <w:r w:rsidRPr="00E42004">
        <w:rPr>
          <w:rFonts w:ascii="Calibri" w:eastAsia="Calibri" w:hAnsi="Calibri"/>
          <w:bCs/>
          <w:szCs w:val="22"/>
          <w:lang w:eastAsia="en-US"/>
        </w:rPr>
        <w:t>835</w:t>
      </w:r>
      <w:r w:rsidR="00D45B06" w:rsidRPr="00E42004">
        <w:rPr>
          <w:rFonts w:ascii="Calibri" w:eastAsia="Calibri" w:hAnsi="Calibri"/>
          <w:bCs/>
          <w:szCs w:val="22"/>
          <w:lang w:eastAsia="en-US"/>
        </w:rPr>
        <w:t xml:space="preserve"> kusů </w:t>
      </w:r>
      <w:r w:rsidRPr="00E42004">
        <w:rPr>
          <w:rFonts w:ascii="Calibri" w:eastAsia="Calibri" w:hAnsi="Calibri"/>
          <w:bCs/>
          <w:szCs w:val="22"/>
          <w:lang w:eastAsia="en-US"/>
        </w:rPr>
        <w:t xml:space="preserve">ovocných stromů včetně 835 kusů kůlů a </w:t>
      </w:r>
      <w:r w:rsidR="00564DC4" w:rsidRPr="00E42004">
        <w:rPr>
          <w:rFonts w:ascii="Calibri" w:eastAsia="Calibri" w:hAnsi="Calibri"/>
          <w:bCs/>
          <w:szCs w:val="22"/>
          <w:lang w:eastAsia="en-US"/>
        </w:rPr>
        <w:t xml:space="preserve">835 kusů </w:t>
      </w:r>
      <w:r w:rsidRPr="00E42004">
        <w:rPr>
          <w:rFonts w:ascii="Calibri" w:eastAsia="Calibri" w:hAnsi="Calibri"/>
          <w:bCs/>
          <w:szCs w:val="22"/>
          <w:lang w:eastAsia="en-US"/>
        </w:rPr>
        <w:t>ochranných obalů</w:t>
      </w:r>
      <w:r w:rsidR="009545B8" w:rsidRPr="00E42004">
        <w:rPr>
          <w:rFonts w:ascii="Calibri" w:eastAsia="Calibri" w:hAnsi="Calibri"/>
          <w:bCs/>
          <w:szCs w:val="22"/>
          <w:lang w:eastAsia="en-US"/>
        </w:rPr>
        <w:t xml:space="preserve"> a </w:t>
      </w:r>
      <w:r w:rsidRPr="00E42004">
        <w:rPr>
          <w:rFonts w:ascii="Calibri" w:eastAsia="Calibri" w:hAnsi="Calibri"/>
          <w:bCs/>
          <w:szCs w:val="22"/>
          <w:lang w:eastAsia="en-US"/>
        </w:rPr>
        <w:t xml:space="preserve">dále 641 kusů okrasných stromů a keřů včetně </w:t>
      </w:r>
      <w:r w:rsidR="00F709F3" w:rsidRPr="00E42004">
        <w:rPr>
          <w:rFonts w:ascii="Calibri" w:eastAsia="Calibri" w:hAnsi="Calibri"/>
          <w:bCs/>
          <w:szCs w:val="22"/>
          <w:lang w:eastAsia="en-US"/>
        </w:rPr>
        <w:t>332</w:t>
      </w:r>
      <w:r w:rsidR="00E42004">
        <w:rPr>
          <w:rFonts w:ascii="Calibri" w:eastAsia="Calibri" w:hAnsi="Calibri"/>
          <w:bCs/>
          <w:szCs w:val="22"/>
          <w:lang w:eastAsia="en-US"/>
        </w:rPr>
        <w:t xml:space="preserve"> kusů kůlů</w:t>
      </w:r>
    </w:p>
    <w:p w:rsidR="00E42004" w:rsidRPr="00E42004" w:rsidRDefault="004549AE" w:rsidP="00E42004">
      <w:pPr>
        <w:pStyle w:val="Odstavecseseznamem"/>
        <w:numPr>
          <w:ilvl w:val="2"/>
          <w:numId w:val="23"/>
        </w:numPr>
        <w:tabs>
          <w:tab w:val="clear" w:pos="720"/>
          <w:tab w:val="clear" w:pos="3396"/>
        </w:tabs>
        <w:spacing w:after="240"/>
        <w:ind w:left="567" w:firstLine="0"/>
        <w:rPr>
          <w:rFonts w:ascii="Calibri" w:eastAsia="Calibri" w:hAnsi="Calibri"/>
          <w:szCs w:val="22"/>
          <w:lang w:eastAsia="en-US"/>
        </w:rPr>
      </w:pPr>
      <w:r w:rsidRPr="00E42004">
        <w:rPr>
          <w:rFonts w:ascii="Calibri" w:eastAsia="Calibri" w:hAnsi="Calibri"/>
          <w:bCs/>
          <w:szCs w:val="22"/>
          <w:lang w:eastAsia="en-US"/>
        </w:rPr>
        <w:t xml:space="preserve"> </w:t>
      </w:r>
      <w:r w:rsidR="00F709F3" w:rsidRPr="00E42004">
        <w:rPr>
          <w:rFonts w:ascii="Calibri" w:eastAsia="Calibri" w:hAnsi="Calibri"/>
          <w:bCs/>
          <w:szCs w:val="22"/>
          <w:lang w:eastAsia="en-US"/>
        </w:rPr>
        <w:t>332</w:t>
      </w:r>
      <w:r w:rsidR="00564DC4" w:rsidRPr="00E42004">
        <w:rPr>
          <w:rFonts w:ascii="Calibri" w:eastAsia="Calibri" w:hAnsi="Calibri"/>
          <w:bCs/>
          <w:szCs w:val="22"/>
          <w:lang w:eastAsia="en-US"/>
        </w:rPr>
        <w:t xml:space="preserve"> kusů </w:t>
      </w:r>
      <w:r w:rsidRPr="00E42004">
        <w:rPr>
          <w:rFonts w:ascii="Calibri" w:eastAsia="Calibri" w:hAnsi="Calibri"/>
          <w:bCs/>
          <w:szCs w:val="22"/>
          <w:lang w:eastAsia="en-US"/>
        </w:rPr>
        <w:t xml:space="preserve">ochranných obalů </w:t>
      </w:r>
      <w:r w:rsidR="00D45B06" w:rsidRPr="00E42004">
        <w:rPr>
          <w:rFonts w:ascii="Calibri" w:eastAsia="Calibri" w:hAnsi="Calibri"/>
          <w:bCs/>
          <w:szCs w:val="22"/>
          <w:lang w:eastAsia="en-US"/>
        </w:rPr>
        <w:t xml:space="preserve">(dále i jen „dodávka“). </w:t>
      </w:r>
    </w:p>
    <w:p w:rsidR="00C84862" w:rsidRPr="00E42004" w:rsidRDefault="00D45B06" w:rsidP="00E42004">
      <w:pPr>
        <w:spacing w:after="240"/>
        <w:ind w:left="567"/>
        <w:rPr>
          <w:rFonts w:ascii="Calibri" w:eastAsia="Calibri" w:hAnsi="Calibri"/>
          <w:szCs w:val="22"/>
          <w:lang w:eastAsia="en-US"/>
        </w:rPr>
      </w:pPr>
      <w:r w:rsidRPr="00E42004">
        <w:rPr>
          <w:rFonts w:ascii="Calibri" w:eastAsia="Calibri" w:hAnsi="Calibri"/>
          <w:bCs/>
          <w:szCs w:val="22"/>
          <w:lang w:eastAsia="en-US"/>
        </w:rPr>
        <w:t>Dodávka je blíže specifikována v </w:t>
      </w:r>
      <w:r w:rsidR="00F709F3" w:rsidRPr="00E42004">
        <w:rPr>
          <w:rFonts w:ascii="Calibri" w:eastAsia="Calibri" w:hAnsi="Calibri"/>
          <w:bCs/>
          <w:szCs w:val="22"/>
          <w:lang w:eastAsia="en-US"/>
        </w:rPr>
        <w:t>příloze</w:t>
      </w:r>
      <w:r w:rsidRPr="00E42004">
        <w:rPr>
          <w:rFonts w:ascii="Calibri" w:eastAsia="Calibri" w:hAnsi="Calibri"/>
          <w:bCs/>
          <w:szCs w:val="22"/>
          <w:lang w:eastAsia="en-US"/>
        </w:rPr>
        <w:t xml:space="preserve">, kterou předložil prodávající ve své nabídce ze dne </w:t>
      </w:r>
      <w:r w:rsidR="004549AE" w:rsidRPr="00E42004">
        <w:rPr>
          <w:rFonts w:ascii="Calibri" w:eastAsia="Calibri" w:hAnsi="Calibri"/>
          <w:bCs/>
          <w:szCs w:val="22"/>
          <w:lang w:eastAsia="en-US"/>
        </w:rPr>
        <w:t>……………………….</w:t>
      </w:r>
      <w:r w:rsidRPr="00E42004">
        <w:rPr>
          <w:rFonts w:ascii="Calibri" w:eastAsia="Calibri" w:hAnsi="Calibri"/>
          <w:bCs/>
          <w:szCs w:val="22"/>
          <w:lang w:eastAsia="en-US"/>
        </w:rPr>
        <w:t xml:space="preserve"> v rámci zadávacího řízení „</w:t>
      </w:r>
      <w:r w:rsidR="004549AE" w:rsidRPr="00E42004">
        <w:rPr>
          <w:b/>
        </w:rPr>
        <w:t>„Ozelenění obcí SO Mezihoří“</w:t>
      </w:r>
      <w:r w:rsidRPr="00E42004">
        <w:rPr>
          <w:rFonts w:ascii="Calibri" w:eastAsia="Calibri" w:hAnsi="Calibri"/>
          <w:bCs/>
          <w:szCs w:val="22"/>
          <w:lang w:eastAsia="en-US"/>
        </w:rPr>
        <w:t>, a která tvoří nedílnou součást této smlouvy</w:t>
      </w:r>
      <w:r w:rsidR="00C84862" w:rsidRPr="00E42004">
        <w:rPr>
          <w:rFonts w:ascii="Calibri" w:eastAsia="Calibri" w:hAnsi="Calibri"/>
          <w:szCs w:val="22"/>
          <w:lang w:eastAsia="en-US"/>
        </w:rPr>
        <w:t>.</w:t>
      </w:r>
    </w:p>
    <w:p w:rsidR="00C84862" w:rsidRPr="000837C4" w:rsidRDefault="00D45B06" w:rsidP="000837C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Prodávající se zavazuje dodat kupujícímu předmět dodávky specifikovaný v této smlouvě a kupující se zavazuje za jeho dodání zaplatit částku sjednanou v této smlouvě</w:t>
      </w:r>
      <w:r w:rsidR="00C84862" w:rsidRPr="000837C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84862" w:rsidRPr="000837C4" w:rsidRDefault="00D45B06" w:rsidP="000837C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bCs/>
          <w:sz w:val="22"/>
          <w:szCs w:val="22"/>
          <w:lang w:eastAsia="en-US"/>
        </w:rPr>
        <w:t>Prodávající dodá kupujícímu předmět dodání, který bude nový, neopotřebovaný, plně funkční, splňující veškeré požadavky právních předpisů a norem, bez právních a faktických vad a převede na něho vlastnické právo, popř. užívací práva k tomuto předmětu dodávky</w:t>
      </w:r>
      <w:r w:rsidR="005759B5" w:rsidRPr="000837C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45B06" w:rsidRPr="00232D75" w:rsidRDefault="00D45B06" w:rsidP="00232D75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bCs/>
          <w:sz w:val="22"/>
          <w:szCs w:val="22"/>
          <w:lang w:eastAsia="en-US"/>
        </w:rPr>
        <w:t>Prodávající je povinen současně s předáním předmětu Dodávky předat Kupujícímu též veškerou obvyklou dokumentaci, která se k předmětu plnění vztahuje, zejména</w:t>
      </w:r>
      <w:r w:rsidR="00232D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32D75" w:rsidRPr="00232D75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="00232D75">
        <w:rPr>
          <w:rFonts w:ascii="Calibri" w:eastAsia="Calibri" w:hAnsi="Calibri"/>
          <w:bCs/>
          <w:sz w:val="22"/>
          <w:szCs w:val="22"/>
          <w:lang w:eastAsia="en-US"/>
        </w:rPr>
        <w:t>áruční listy a záruční podmínky.</w:t>
      </w:r>
    </w:p>
    <w:p w:rsidR="00F10CC3" w:rsidRDefault="00D45B06" w:rsidP="000837C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lastRenderedPageBreak/>
        <w:t>Prodávající je povinen rovněž dle pokynů kupujícího v místě plnění provést předvedení funkčnosti předmětu dodávky</w:t>
      </w:r>
      <w:r w:rsidR="00C84862" w:rsidRPr="000837C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45B06" w:rsidRDefault="00D45B06" w:rsidP="000837C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 xml:space="preserve">Kupující se zavazuje za dodávku, dodanou v souladu s touto Smlouvou, zadávací dokumentací k Veřejné zakázce a právními předpisy, zaplatit cenu specifikovanou </w:t>
      </w:r>
      <w:r w:rsidR="00EB7805">
        <w:rPr>
          <w:rFonts w:ascii="Calibri" w:eastAsia="Calibri" w:hAnsi="Calibri"/>
          <w:sz w:val="22"/>
          <w:szCs w:val="22"/>
          <w:lang w:eastAsia="en-US"/>
        </w:rPr>
        <w:t>v</w:t>
      </w:r>
      <w:r w:rsidRPr="00D45B06">
        <w:rPr>
          <w:rFonts w:ascii="Calibri" w:eastAsia="Calibri" w:hAnsi="Calibri"/>
          <w:sz w:val="22"/>
          <w:szCs w:val="22"/>
          <w:lang w:eastAsia="en-US"/>
        </w:rPr>
        <w:t xml:space="preserve"> článku III. této smlouvy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D45B06" w:rsidRPr="000837C4" w:rsidRDefault="00D45B06" w:rsidP="000837C4">
      <w:pPr>
        <w:numPr>
          <w:ilvl w:val="0"/>
          <w:numId w:val="23"/>
        </w:numPr>
        <w:tabs>
          <w:tab w:val="clear" w:pos="1776"/>
        </w:tabs>
        <w:spacing w:after="24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Kupující převezme předmět dodávky pouze na základě předávacího protokolu podepsaného oprávněnými zástupci obou smluvních stran. Nebezpečí škody, riziko ztráty a vlastnické právo přechází z Prodávajícího na Kupujícího okamžikem podpisu předávacího protokolu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95B01" w:rsidRPr="000837C4" w:rsidRDefault="00F95B01" w:rsidP="00C84862">
      <w:pPr>
        <w:rPr>
          <w:rFonts w:ascii="Calibri" w:eastAsia="Calibri" w:hAnsi="Calibri"/>
          <w:sz w:val="22"/>
          <w:szCs w:val="22"/>
          <w:lang w:eastAsia="en-US"/>
        </w:rPr>
      </w:pPr>
    </w:p>
    <w:p w:rsidR="00AC56F2" w:rsidRPr="000837C4" w:rsidRDefault="00AC56F2" w:rsidP="000837C4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0837C4" w:rsidRDefault="00AC56F2" w:rsidP="000837C4">
      <w:pPr>
        <w:ind w:left="720"/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iCs/>
          <w:sz w:val="22"/>
          <w:szCs w:val="22"/>
          <w:lang w:eastAsia="en-US"/>
        </w:rPr>
        <w:t>Cena a podmínky pro změnu sjednané ceny</w:t>
      </w:r>
    </w:p>
    <w:p w:rsidR="00A34897" w:rsidRPr="000837C4" w:rsidRDefault="00D45B06" w:rsidP="000837C4">
      <w:pPr>
        <w:numPr>
          <w:ilvl w:val="0"/>
          <w:numId w:val="31"/>
        </w:numPr>
        <w:spacing w:after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Cena za dodání zboží v rozsahu čl. II. této smlouvy je stanovena dohodou smluvních stran na základě cenové nabídky prodávajícího, zpracované na specifikace uvedené v příloze této smlouvy a činí celkem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 xml:space="preserve">:  </w:t>
      </w:r>
    </w:p>
    <w:p w:rsidR="00A34897" w:rsidRPr="00D45B06" w:rsidRDefault="0082159F" w:rsidP="00A34897">
      <w:pPr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45B06">
        <w:rPr>
          <w:rFonts w:ascii="Calibri" w:eastAsia="Calibri" w:hAnsi="Calibri"/>
          <w:b/>
          <w:sz w:val="22"/>
          <w:szCs w:val="22"/>
          <w:lang w:eastAsia="en-US"/>
        </w:rPr>
        <w:t>Cena bez DPH</w:t>
      </w:r>
      <w:r w:rsidRPr="00D45B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D45B0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b/>
          <w:sz w:val="22"/>
          <w:szCs w:val="22"/>
          <w:lang w:eastAsia="en-US"/>
        </w:rPr>
        <w:t>……………………………..……..</w:t>
      </w: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 xml:space="preserve">Sazba DPH   </w:t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b/>
          <w:sz w:val="22"/>
          <w:szCs w:val="22"/>
          <w:lang w:eastAsia="en-US"/>
        </w:rPr>
        <w:t>…………………….…..………….</w:t>
      </w: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>DPH</w:t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b/>
          <w:sz w:val="22"/>
          <w:szCs w:val="22"/>
          <w:lang w:eastAsia="en-US"/>
        </w:rPr>
        <w:t>…………………….………………</w:t>
      </w:r>
      <w:r w:rsidR="0082159F"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sz w:val="22"/>
          <w:szCs w:val="22"/>
          <w:lang w:eastAsia="en-US"/>
        </w:rPr>
        <w:t>Cena včetně DPH</w:t>
      </w:r>
      <w:r w:rsidR="0082159F" w:rsidRPr="000837C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4549AE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……………………………………..</w:t>
      </w: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4897" w:rsidRPr="000837C4" w:rsidRDefault="00A34897" w:rsidP="00A34897">
      <w:pPr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837C4">
        <w:rPr>
          <w:rFonts w:ascii="Calibri" w:eastAsia="Calibri" w:hAnsi="Calibri"/>
          <w:sz w:val="22"/>
          <w:szCs w:val="22"/>
          <w:lang w:eastAsia="en-US"/>
        </w:rPr>
        <w:t>Tato cena je nejvýše přípustná.</w:t>
      </w:r>
    </w:p>
    <w:p w:rsidR="00A34897" w:rsidRPr="000837C4" w:rsidRDefault="00A34897" w:rsidP="00AD2AAD">
      <w:pPr>
        <w:ind w:left="709" w:hanging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4897" w:rsidRDefault="00D45B06" w:rsidP="000837C4">
      <w:pPr>
        <w:numPr>
          <w:ilvl w:val="0"/>
          <w:numId w:val="3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Tato cena je cenou smluvní a pevnou po navrženou dobu plnění této smlouvy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45B06" w:rsidRPr="000837C4" w:rsidRDefault="00D45B06" w:rsidP="00D45B06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7C4" w:rsidRDefault="00D45B06" w:rsidP="000837C4">
      <w:pPr>
        <w:numPr>
          <w:ilvl w:val="0"/>
          <w:numId w:val="3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Součástí ceny jsou inflační nárůsty cen po navrženou dobu provádění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45B06" w:rsidRDefault="00D45B06" w:rsidP="00D45B06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4897" w:rsidRPr="000837C4" w:rsidRDefault="00D45B06" w:rsidP="000837C4">
      <w:pPr>
        <w:numPr>
          <w:ilvl w:val="0"/>
          <w:numId w:val="3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Cena zahrnuje veškeré náklady prodávajícího nezbytné k dodání zboží včetně všech nákladů s dodáním zboží věcně souvisejících (např. nákladů na dopravu do místa p</w:t>
      </w:r>
      <w:r w:rsidR="004549AE">
        <w:rPr>
          <w:rFonts w:ascii="Calibri" w:eastAsia="Calibri" w:hAnsi="Calibri"/>
          <w:sz w:val="22"/>
          <w:szCs w:val="22"/>
          <w:lang w:eastAsia="en-US"/>
        </w:rPr>
        <w:t xml:space="preserve">lnění </w:t>
      </w:r>
      <w:r w:rsidRPr="00D45B06">
        <w:rPr>
          <w:rFonts w:ascii="Calibri" w:eastAsia="Calibri" w:hAnsi="Calibri"/>
          <w:sz w:val="22"/>
          <w:szCs w:val="22"/>
          <w:lang w:eastAsia="en-US"/>
        </w:rPr>
        <w:t>a dalších vedlejších nákladů prodávajícího). Cena dále obsahuje veškerá ochranná a bezpečnostní opatření po dobu plnění smlouvy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34897" w:rsidRDefault="00A34897" w:rsidP="00AD2AAD">
      <w:pPr>
        <w:ind w:left="709" w:hanging="709"/>
        <w:jc w:val="both"/>
        <w:rPr>
          <w:rFonts w:ascii="Arial" w:hAnsi="Arial"/>
        </w:rPr>
      </w:pPr>
    </w:p>
    <w:p w:rsidR="00AC56F2" w:rsidRPr="000837C4" w:rsidRDefault="00D45B06" w:rsidP="000837C4">
      <w:pPr>
        <w:numPr>
          <w:ilvl w:val="0"/>
          <w:numId w:val="3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Cenu uvedenou v odstavci 1. tohoto článku je možné překročit pouze při zákonné úpravě výše sazby DPH, a to od data účinnosti takové zákonné úpravy, nejvýše však o částku odpovídající zvýšení částky DPH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204C1" w:rsidRPr="000837C4" w:rsidRDefault="00F204C1" w:rsidP="000837C4">
      <w:pPr>
        <w:ind w:left="1080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0837C4" w:rsidRDefault="00AC56F2" w:rsidP="000837C4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0837C4" w:rsidRDefault="00AC56F2" w:rsidP="000837C4">
      <w:pPr>
        <w:ind w:left="720"/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837C4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Platební podmínky </w:t>
      </w:r>
    </w:p>
    <w:p w:rsidR="00A34897" w:rsidRPr="000837C4" w:rsidRDefault="00D45B06" w:rsidP="000837C4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5B06">
        <w:rPr>
          <w:rFonts w:ascii="Calibri" w:eastAsia="Calibri" w:hAnsi="Calibri"/>
          <w:sz w:val="22"/>
          <w:szCs w:val="22"/>
          <w:lang w:eastAsia="en-US"/>
        </w:rPr>
        <w:t>Kupující neposkytuje prodávajícímu zálohu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34897" w:rsidRPr="000837C4" w:rsidRDefault="00A34897" w:rsidP="00AD2AAD">
      <w:pPr>
        <w:ind w:hanging="177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4897" w:rsidRDefault="00B542D9" w:rsidP="000837C4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Cena za předmět dodávky bude kupujícím uhrazena na základě daňového dokladu – faktury (dále jen faktura). Prodávající je oprávněn vystavit fakturu po bezvadném předání a převzetí předmětu dodávky</w:t>
      </w:r>
      <w:r w:rsidR="00A34897" w:rsidRPr="000837C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B542D9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Default="00B542D9" w:rsidP="000837C4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Prodávající je oprávněn vystavit fakturu, pouze je-li Dodávka bez vad a nedodělků, o čemž jsou smluvní strany prostřednictvím svých oprávněných zástupců povinny sepsat předávací protokol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Pr="000837C4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34897" w:rsidRDefault="00B542D9" w:rsidP="00B542D9">
      <w:pPr>
        <w:numPr>
          <w:ilvl w:val="0"/>
          <w:numId w:val="7"/>
        </w:numPr>
        <w:tabs>
          <w:tab w:val="clear" w:pos="360"/>
        </w:tabs>
        <w:ind w:left="426" w:hanging="43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Faktura bude obsahovat pojmové náležitosti daňového dokladu stanovené zákonem č. 235/2004 Sb., o dani z přidané hodnoty, v platném znění, a zákonem č. 563/1991 Sb., o účetnictví, v platném znění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Default="00B542D9" w:rsidP="00B542D9">
      <w:p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Default="00B542D9" w:rsidP="00B542D9">
      <w:pPr>
        <w:numPr>
          <w:ilvl w:val="0"/>
          <w:numId w:val="7"/>
        </w:numPr>
        <w:tabs>
          <w:tab w:val="clear" w:pos="360"/>
        </w:tabs>
        <w:ind w:left="426" w:hanging="43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Nedohodnou-li se smluvní strany jinak, musí faktura dále obsahovat soupis předmětu dodávky, názvy jednotlivých částí Dodávky s uvedením dílčích cen za jednotlivé části Dodávky s DPH i bez DPH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Default="00B542D9" w:rsidP="00B542D9">
      <w:p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Default="00B542D9" w:rsidP="00B542D9">
      <w:pPr>
        <w:numPr>
          <w:ilvl w:val="0"/>
          <w:numId w:val="7"/>
        </w:numPr>
        <w:tabs>
          <w:tab w:val="clear" w:pos="360"/>
        </w:tabs>
        <w:ind w:left="426" w:hanging="43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Přílohou a součástí faktury musí být kupujícím potvrzený předávací protokol o předání a převzetí dodávky jako bezvadné, nebo kupujícím potvrzený předávací protokol o předání a převzetí dané dodávky a kupujícím potvrzený doklad o odstranění všech vad a nedodělků konkrétní dodávky uvedených v předávacím protokolu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Pr="000837C4" w:rsidRDefault="00B542D9" w:rsidP="00B542D9">
      <w:p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56F2" w:rsidRDefault="00B542D9" w:rsidP="008F3442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V případě, že faktura nebude mít odpovídající náležitosti stanovené v tomto článku, je kupující oprávněn zaslat ji ve lhůtě splatnosti zpět prodávajícímu k doplnění či úpravě, aniž se dostane do prodlení se splatností – lhůta splatnosti počíná běžet znovu od opětovného doručení náležitě doplněného či opraveného dokladu kupujícímu</w:t>
      </w:r>
      <w:r w:rsidR="00A34897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Default="00B542D9" w:rsidP="008F3442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Kupující je povinen uhradit fakturu prodávajícího nejpozději do 30 dnů ode dne následujícího po dni doručení faktury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Default="00B542D9" w:rsidP="008F3442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Kupující není v prodlení, uhradí-li fakturu do 30 dnů ode dne následujícího po dni doručení faktury, ale po termínu, který je na faktuře uveden jako den splatnosti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42D9" w:rsidRPr="008F3442" w:rsidRDefault="00B542D9" w:rsidP="008F3442">
      <w:pPr>
        <w:numPr>
          <w:ilvl w:val="0"/>
          <w:numId w:val="7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Peněžitý závazek (dluh) kupujícího se považuje za splněný v den, kdy je dlužná částka připsána na účet prodávajícího uvedený na příslušné faktuře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8F3442" w:rsidRDefault="008F3442" w:rsidP="008F3442">
      <w:pPr>
        <w:ind w:left="1080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8F3442" w:rsidRDefault="008F344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Cs/>
          <w:sz w:val="22"/>
          <w:szCs w:val="22"/>
          <w:lang w:eastAsia="en-US"/>
        </w:rPr>
        <w:br/>
      </w:r>
      <w:r w:rsidR="00AC56F2"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Doba a místo plnění </w:t>
      </w:r>
    </w:p>
    <w:p w:rsidR="00AC56F2" w:rsidRDefault="00B542D9" w:rsidP="008F3442">
      <w:pPr>
        <w:numPr>
          <w:ilvl w:val="0"/>
          <w:numId w:val="3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Prodávající je p</w:t>
      </w:r>
      <w:r w:rsidR="00AA210C">
        <w:rPr>
          <w:rFonts w:ascii="Calibri" w:eastAsia="Calibri" w:hAnsi="Calibri"/>
          <w:sz w:val="22"/>
          <w:szCs w:val="22"/>
          <w:lang w:eastAsia="en-US"/>
        </w:rPr>
        <w:t>ovinen dodat pře</w:t>
      </w:r>
      <w:r w:rsidR="00E4380E">
        <w:rPr>
          <w:rFonts w:ascii="Calibri" w:eastAsia="Calibri" w:hAnsi="Calibri"/>
          <w:sz w:val="22"/>
          <w:szCs w:val="22"/>
          <w:lang w:eastAsia="en-US"/>
        </w:rPr>
        <w:t xml:space="preserve">dmět dodávky </w:t>
      </w:r>
      <w:r w:rsidR="00E4380E" w:rsidRPr="00E4380E">
        <w:rPr>
          <w:rFonts w:ascii="Calibri" w:eastAsia="Calibri" w:hAnsi="Calibri"/>
          <w:b/>
          <w:sz w:val="22"/>
          <w:szCs w:val="22"/>
          <w:lang w:eastAsia="en-US"/>
        </w:rPr>
        <w:t>od 17. 10. 2016 do</w:t>
      </w:r>
      <w:r w:rsidR="00AA210C" w:rsidRPr="00E4380E">
        <w:rPr>
          <w:rFonts w:ascii="Calibri" w:eastAsia="Calibri" w:hAnsi="Calibri"/>
          <w:b/>
          <w:sz w:val="22"/>
          <w:szCs w:val="22"/>
          <w:lang w:eastAsia="en-US"/>
        </w:rPr>
        <w:t xml:space="preserve"> 31. 10. 2016</w:t>
      </w:r>
      <w:r w:rsidRPr="00E4380E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B542D9">
        <w:rPr>
          <w:rFonts w:ascii="Calibri" w:eastAsia="Calibri" w:hAnsi="Calibri"/>
          <w:sz w:val="22"/>
          <w:szCs w:val="22"/>
          <w:lang w:eastAsia="en-US"/>
        </w:rPr>
        <w:t xml:space="preserve"> Zahájení plnění smlouvy nastane po podpisu této smlouvy</w:t>
      </w:r>
      <w:r w:rsidR="00AC56F2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42D9" w:rsidRPr="008F3442" w:rsidRDefault="00B542D9" w:rsidP="00B542D9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E7644" w:rsidRDefault="005E7644" w:rsidP="005E7644">
      <w:pPr>
        <w:numPr>
          <w:ilvl w:val="0"/>
          <w:numId w:val="3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42D9">
        <w:rPr>
          <w:rFonts w:ascii="Calibri" w:eastAsia="Calibri" w:hAnsi="Calibri"/>
          <w:sz w:val="22"/>
          <w:szCs w:val="22"/>
          <w:lang w:eastAsia="en-US"/>
        </w:rPr>
        <w:t>Místem dodání předmětu této smlouvy</w:t>
      </w:r>
      <w:r>
        <w:rPr>
          <w:rFonts w:ascii="Calibri" w:eastAsia="Calibri" w:hAnsi="Calibri"/>
          <w:sz w:val="22"/>
          <w:szCs w:val="22"/>
          <w:lang w:eastAsia="en-US"/>
        </w:rPr>
        <w:t xml:space="preserve"> jsou obecní úřady dle následující tabulky:</w:t>
      </w:r>
    </w:p>
    <w:p w:rsidR="005E7644" w:rsidRDefault="005E7644" w:rsidP="005E764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27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21"/>
        <w:gridCol w:w="2340"/>
        <w:gridCol w:w="2022"/>
      </w:tblGrid>
      <w:tr w:rsidR="00A155B0" w:rsidRPr="003A3947" w:rsidTr="00121A96">
        <w:trPr>
          <w:jc w:val="center"/>
        </w:trPr>
        <w:tc>
          <w:tcPr>
            <w:tcW w:w="1844" w:type="dxa"/>
          </w:tcPr>
          <w:p w:rsidR="00A155B0" w:rsidRPr="003A3947" w:rsidRDefault="00A155B0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A3947">
              <w:rPr>
                <w:rFonts w:ascii="Arial" w:hAnsi="Arial" w:cs="Arial"/>
                <w:b/>
                <w:sz w:val="20"/>
              </w:rPr>
              <w:t>Obec</w:t>
            </w:r>
            <w:r>
              <w:rPr>
                <w:rFonts w:ascii="Arial" w:hAnsi="Arial" w:cs="Arial"/>
                <w:b/>
                <w:sz w:val="20"/>
              </w:rPr>
              <w:t>/Městys</w:t>
            </w:r>
          </w:p>
        </w:tc>
        <w:tc>
          <w:tcPr>
            <w:tcW w:w="2621" w:type="dxa"/>
          </w:tcPr>
          <w:p w:rsidR="00A155B0" w:rsidRPr="003A3947" w:rsidRDefault="004549AE" w:rsidP="004549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 w:rsidR="00A155B0" w:rsidRPr="003A3947">
              <w:rPr>
                <w:rFonts w:ascii="Arial" w:hAnsi="Arial" w:cs="Arial"/>
                <w:b/>
                <w:sz w:val="20"/>
              </w:rPr>
              <w:t xml:space="preserve">Počet ks </w:t>
            </w:r>
            <w:r>
              <w:rPr>
                <w:rFonts w:ascii="Arial" w:hAnsi="Arial" w:cs="Arial"/>
                <w:b/>
                <w:sz w:val="20"/>
              </w:rPr>
              <w:t>ovocných stromů</w:t>
            </w:r>
          </w:p>
        </w:tc>
        <w:tc>
          <w:tcPr>
            <w:tcW w:w="2340" w:type="dxa"/>
          </w:tcPr>
          <w:p w:rsidR="00A155B0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b) Počet ks okrasných stromů a keřů</w:t>
            </w:r>
          </w:p>
        </w:tc>
        <w:tc>
          <w:tcPr>
            <w:tcW w:w="2022" w:type="dxa"/>
          </w:tcPr>
          <w:p w:rsidR="00A155B0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Počet ochranných obalů a kůlů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Brankovice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340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2022" w:type="dxa"/>
          </w:tcPr>
          <w:p w:rsidR="004549AE" w:rsidRPr="003A3947" w:rsidRDefault="00564DC4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AA210C">
              <w:rPr>
                <w:rFonts w:ascii="Arial" w:hAnsi="Arial" w:cs="Arial"/>
                <w:sz w:val="20"/>
              </w:rPr>
              <w:t>5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Dobročkovice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22" w:type="dxa"/>
          </w:tcPr>
          <w:p w:rsidR="004549AE" w:rsidRPr="003A3947" w:rsidRDefault="00AA210C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Hvězdlice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2022" w:type="dxa"/>
          </w:tcPr>
          <w:p w:rsidR="004549AE" w:rsidRPr="003A3947" w:rsidRDefault="00AA210C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709F3">
              <w:rPr>
                <w:rFonts w:ascii="Arial" w:hAnsi="Arial" w:cs="Arial"/>
                <w:sz w:val="20"/>
              </w:rPr>
              <w:t>00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Chvalkovice</w:t>
            </w:r>
          </w:p>
        </w:tc>
        <w:tc>
          <w:tcPr>
            <w:tcW w:w="2621" w:type="dxa"/>
          </w:tcPr>
          <w:p w:rsidR="004549AE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340" w:type="dxa"/>
          </w:tcPr>
          <w:p w:rsidR="004549AE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2022" w:type="dxa"/>
          </w:tcPr>
          <w:p w:rsidR="004549AE" w:rsidRDefault="00F709F3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Kožušice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22" w:type="dxa"/>
          </w:tcPr>
          <w:p w:rsidR="004549AE" w:rsidRPr="003A3947" w:rsidRDefault="004549AE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Malínky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22" w:type="dxa"/>
          </w:tcPr>
          <w:p w:rsidR="004549AE" w:rsidRPr="003A3947" w:rsidRDefault="00AA210C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Milonice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22" w:type="dxa"/>
          </w:tcPr>
          <w:p w:rsidR="004549AE" w:rsidRPr="003A3947" w:rsidRDefault="00AA210C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Nemochovice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22" w:type="dxa"/>
          </w:tcPr>
          <w:p w:rsidR="004549AE" w:rsidRPr="003A3947" w:rsidRDefault="004549AE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Nesovice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2022" w:type="dxa"/>
          </w:tcPr>
          <w:p w:rsidR="00AA210C" w:rsidRPr="003A3947" w:rsidRDefault="00AA210C" w:rsidP="00AA2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Nevojice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40" w:type="dxa"/>
          </w:tcPr>
          <w:p w:rsidR="004549AE" w:rsidRPr="003A3947" w:rsidRDefault="00F709F3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22" w:type="dxa"/>
          </w:tcPr>
          <w:p w:rsidR="004549AE" w:rsidRPr="003A3947" w:rsidRDefault="00F709F3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Snovídky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22" w:type="dxa"/>
          </w:tcPr>
          <w:p w:rsidR="004549AE" w:rsidRPr="003A3947" w:rsidRDefault="004549AE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Uhřice</w:t>
            </w:r>
          </w:p>
        </w:tc>
        <w:tc>
          <w:tcPr>
            <w:tcW w:w="2621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340" w:type="dxa"/>
          </w:tcPr>
          <w:p w:rsidR="004549AE" w:rsidRPr="003A3947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22" w:type="dxa"/>
          </w:tcPr>
          <w:p w:rsidR="004549AE" w:rsidRPr="003A3947" w:rsidRDefault="004549AE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4549AE" w:rsidRPr="003A3947" w:rsidTr="00121A96">
        <w:trPr>
          <w:jc w:val="center"/>
        </w:trPr>
        <w:tc>
          <w:tcPr>
            <w:tcW w:w="1844" w:type="dxa"/>
          </w:tcPr>
          <w:p w:rsidR="004549AE" w:rsidRPr="003A3947" w:rsidRDefault="004549AE" w:rsidP="00121A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A3947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2621" w:type="dxa"/>
          </w:tcPr>
          <w:p w:rsidR="004549AE" w:rsidRPr="00A320A5" w:rsidRDefault="004549AE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835 </w:t>
            </w:r>
          </w:p>
        </w:tc>
        <w:tc>
          <w:tcPr>
            <w:tcW w:w="2340" w:type="dxa"/>
          </w:tcPr>
          <w:p w:rsidR="004549AE" w:rsidRPr="00A320A5" w:rsidRDefault="00AA210C" w:rsidP="00121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641</w:t>
            </w:r>
          </w:p>
        </w:tc>
        <w:tc>
          <w:tcPr>
            <w:tcW w:w="2022" w:type="dxa"/>
          </w:tcPr>
          <w:p w:rsidR="004549AE" w:rsidRPr="00A320A5" w:rsidRDefault="00F709F3" w:rsidP="00A92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1167</w:t>
            </w:r>
          </w:p>
        </w:tc>
      </w:tr>
    </w:tbl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599C" w:rsidRDefault="00D33CED" w:rsidP="008F3442">
      <w:pPr>
        <w:numPr>
          <w:ilvl w:val="0"/>
          <w:numId w:val="3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Strany se dohodly na řádném poskytování součinností dohodnutých ve smlouvě. Po dobu prodlení kupujícího s poskytnutím dohodnutých součinností není prodávající v prodlení s plněním závazku. Nedojde-li mezi stranami k jiné dohodě, prodlužuje se termín dodání o dobu shodnou s prodlením kupujícího v plnění jeho součinností</w:t>
      </w:r>
      <w:r w:rsidR="00EA599C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599C" w:rsidRPr="008F3442" w:rsidRDefault="00D33CED" w:rsidP="008F3442">
      <w:pPr>
        <w:numPr>
          <w:ilvl w:val="0"/>
          <w:numId w:val="32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Prodlení prodávajícího s dodáním předmětu dodávky delší jak 20 dnů se považuje za podstatné porušení smlouvy, ale pouze v případě, že prodlení prodávajícího nevzniklo z důvodů na straně kupujícího</w:t>
      </w:r>
      <w:r w:rsidR="00EA599C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C56F2" w:rsidRDefault="00AC56F2" w:rsidP="008F3442">
      <w:pPr>
        <w:ind w:left="1080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232D75" w:rsidRPr="008F3442" w:rsidRDefault="00232D75" w:rsidP="008F3442">
      <w:pPr>
        <w:ind w:left="1080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8F3442" w:rsidRDefault="00AC56F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8F3442" w:rsidRDefault="00AC56F2" w:rsidP="008F3442">
      <w:pPr>
        <w:ind w:left="720"/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Smluvní </w:t>
      </w:r>
      <w:r w:rsidR="00553B38"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>sankce</w:t>
      </w:r>
      <w:r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</w:t>
      </w:r>
    </w:p>
    <w:p w:rsidR="00AD2AAD" w:rsidRPr="008F3442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Pokud bude prodávající v prodlení proti termínu předání předmětu dodávky je povinen zaplatit kupujícímu smluvní pokutu ve výši</w:t>
      </w:r>
      <w:r w:rsidR="004B0A97" w:rsidRPr="008F34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0C27" w:rsidRPr="008F3442">
        <w:rPr>
          <w:rFonts w:ascii="Calibri" w:eastAsia="Calibri" w:hAnsi="Calibri"/>
          <w:sz w:val="22"/>
          <w:szCs w:val="22"/>
          <w:lang w:eastAsia="en-US"/>
        </w:rPr>
        <w:t>2</w:t>
      </w:r>
      <w:r w:rsidR="00E83302" w:rsidRPr="008F3442">
        <w:rPr>
          <w:rFonts w:ascii="Calibri" w:eastAsia="Calibri" w:hAnsi="Calibri"/>
          <w:sz w:val="22"/>
          <w:szCs w:val="22"/>
          <w:lang w:eastAsia="en-US"/>
        </w:rPr>
        <w:t>.</w:t>
      </w:r>
      <w:r w:rsidR="004B0A97" w:rsidRPr="008F3442">
        <w:rPr>
          <w:rFonts w:ascii="Calibri" w:eastAsia="Calibri" w:hAnsi="Calibri"/>
          <w:sz w:val="22"/>
          <w:szCs w:val="22"/>
          <w:lang w:eastAsia="en-US"/>
        </w:rPr>
        <w:t>000 Kč (</w:t>
      </w:r>
      <w:r w:rsidR="008D0C27" w:rsidRPr="008F3442">
        <w:rPr>
          <w:rFonts w:ascii="Calibri" w:eastAsia="Calibri" w:hAnsi="Calibri"/>
          <w:sz w:val="22"/>
          <w:szCs w:val="22"/>
          <w:lang w:eastAsia="en-US"/>
        </w:rPr>
        <w:t>dvě</w:t>
      </w:r>
      <w:r w:rsidR="00E83302" w:rsidRPr="008F34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B0A97" w:rsidRPr="008F3442">
        <w:rPr>
          <w:rFonts w:ascii="Calibri" w:eastAsia="Calibri" w:hAnsi="Calibri"/>
          <w:sz w:val="22"/>
          <w:szCs w:val="22"/>
          <w:lang w:eastAsia="en-US"/>
        </w:rPr>
        <w:t xml:space="preserve">tisíc korun českých) za každý i započatý den prodlení. </w:t>
      </w:r>
    </w:p>
    <w:p w:rsidR="00AD2AAD" w:rsidRPr="007A651D" w:rsidRDefault="00AD2AAD" w:rsidP="00AD2AAD">
      <w:pPr>
        <w:ind w:left="709"/>
        <w:jc w:val="both"/>
        <w:rPr>
          <w:rFonts w:ascii="Arial" w:hAnsi="Arial"/>
          <w:b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Pokud prodávající neodstraní vady uvedené v zápise o předání a převzetí dodávky v dohodnutém termínu zaplatí kupujícímu smluvní pokutu ve výši</w:t>
      </w:r>
      <w:r w:rsidR="00F204C1" w:rsidRPr="008F34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51ED3" w:rsidRPr="008F3442">
        <w:rPr>
          <w:rFonts w:ascii="Calibri" w:eastAsia="Calibri" w:hAnsi="Calibri"/>
          <w:sz w:val="22"/>
          <w:szCs w:val="22"/>
          <w:lang w:eastAsia="en-US"/>
        </w:rPr>
        <w:t>2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>.000,- Kč (</w:t>
      </w:r>
      <w:r w:rsidR="00851ED3" w:rsidRPr="008F3442">
        <w:rPr>
          <w:rFonts w:ascii="Calibri" w:eastAsia="Calibri" w:hAnsi="Calibri"/>
          <w:sz w:val="22"/>
          <w:szCs w:val="22"/>
          <w:lang w:eastAsia="en-US"/>
        </w:rPr>
        <w:t>dvě</w:t>
      </w:r>
      <w:r w:rsidR="00A72897" w:rsidRPr="008F3442">
        <w:rPr>
          <w:rFonts w:ascii="Calibri" w:eastAsia="Calibri" w:hAnsi="Calibri"/>
          <w:sz w:val="22"/>
          <w:szCs w:val="22"/>
          <w:lang w:eastAsia="en-US"/>
        </w:rPr>
        <w:t xml:space="preserve"> tisíc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 xml:space="preserve"> korun českých) za každý nedodělek či vadu, u nichž je v prodlení a za každý den prodlení. 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 xml:space="preserve">Pokud prodávající neodstraní reklamovanou vadu ve sjednaném termínu, je povinen zaplatit kupujícímu smluvní pokutu </w:t>
      </w:r>
      <w:r>
        <w:rPr>
          <w:rFonts w:ascii="Calibri" w:eastAsia="Calibri" w:hAnsi="Calibri"/>
          <w:sz w:val="22"/>
          <w:szCs w:val="22"/>
          <w:lang w:eastAsia="en-US"/>
        </w:rPr>
        <w:t>2</w:t>
      </w:r>
      <w:r w:rsidRPr="00D33CED">
        <w:rPr>
          <w:rFonts w:ascii="Calibri" w:eastAsia="Calibri" w:hAnsi="Calibri"/>
          <w:sz w:val="22"/>
          <w:szCs w:val="22"/>
          <w:lang w:eastAsia="en-US"/>
        </w:rPr>
        <w:t>.000,- Kč (</w:t>
      </w:r>
      <w:r>
        <w:rPr>
          <w:rFonts w:ascii="Calibri" w:eastAsia="Calibri" w:hAnsi="Calibri"/>
          <w:sz w:val="22"/>
          <w:szCs w:val="22"/>
          <w:lang w:eastAsia="en-US"/>
        </w:rPr>
        <w:t xml:space="preserve">dvě </w:t>
      </w:r>
      <w:r w:rsidRPr="00D33CED">
        <w:rPr>
          <w:rFonts w:ascii="Calibri" w:eastAsia="Calibri" w:hAnsi="Calibri"/>
          <w:sz w:val="22"/>
          <w:szCs w:val="22"/>
          <w:lang w:eastAsia="en-US"/>
        </w:rPr>
        <w:t>tisíc korun českých) za každou reklamovanou vadu, u níž je v prodlení a za každý den prodlení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>.</w:t>
      </w:r>
      <w:r w:rsidR="00400F39" w:rsidRPr="008F344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Pokud bude kupující v prodlení s úhradou faktury proti sjednanému termínu je povinen zaplatit prodávajícímu úrok z prodlení ve výši 0,05 % z dlužné částky za každý i započatý den prodlení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Sankci (smluvní pokutu, úrok z prodlení) vyúčtuje oprávněná strana straně povinné písemnou formou.  Ve vyúčtování musí být uvedeno to ustanovení smlouvy, které k vyúčtování sankce opravňuje a způsob výpočtu celkové výše sankce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Strana povinná je povinna uhradit vyúčtované sankce nejpozději do čtrnácti dnů od dne obdržení příslušného vyúčtování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33CED" w:rsidRPr="008F3442" w:rsidRDefault="00D33CED" w:rsidP="00D33CED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AAD" w:rsidRDefault="00D33CED" w:rsidP="008F3442">
      <w:pPr>
        <w:numPr>
          <w:ilvl w:val="0"/>
          <w:numId w:val="33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3CED">
        <w:rPr>
          <w:rFonts w:ascii="Calibri" w:eastAsia="Calibri" w:hAnsi="Calibri"/>
          <w:sz w:val="22"/>
          <w:szCs w:val="22"/>
          <w:lang w:eastAsia="en-US"/>
        </w:rPr>
        <w:t>Zaplacením sankce (smluvní pokuty) není dotčen nárok kupujícího na náhradu škody způsobené mu porušením povinnosti prodávajícího, na niž se sankce vztahuje</w:t>
      </w:r>
      <w:r w:rsidR="00AD2AAD" w:rsidRPr="008F34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246D6" w:rsidRPr="00AD2AAD" w:rsidRDefault="00A246D6" w:rsidP="00AD2AAD">
      <w:pPr>
        <w:pStyle w:val="Zkladntext"/>
        <w:spacing w:line="240" w:lineRule="atLeast"/>
        <w:rPr>
          <w:rFonts w:ascii="Arial" w:hAnsi="Arial" w:cs="Arial"/>
        </w:rPr>
      </w:pPr>
    </w:p>
    <w:p w:rsidR="00AC56F2" w:rsidRPr="008F3442" w:rsidRDefault="00AC56F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6D7166" w:rsidRPr="008F3442" w:rsidRDefault="00674C94" w:rsidP="008F3442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Cs/>
          <w:sz w:val="22"/>
          <w:szCs w:val="22"/>
          <w:lang w:eastAsia="en-US"/>
        </w:rPr>
        <w:t>Předání a převzetí</w:t>
      </w:r>
    </w:p>
    <w:p w:rsidR="00674C94" w:rsidRDefault="00674C94" w:rsidP="008F3442">
      <w:pPr>
        <w:numPr>
          <w:ilvl w:val="0"/>
          <w:numId w:val="34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>Prodávající je povinen písemně oznámit kupujícímu nejpozději 5 dnů předem, kdy bude předmět dodávky připraven k předání a převzetí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674C94" w:rsidRDefault="00674C94" w:rsidP="00674C9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7166" w:rsidRDefault="006D7166" w:rsidP="008F3442">
      <w:pPr>
        <w:numPr>
          <w:ilvl w:val="0"/>
          <w:numId w:val="34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442">
        <w:rPr>
          <w:rFonts w:ascii="Calibri" w:eastAsia="Calibri" w:hAnsi="Calibri"/>
          <w:sz w:val="22"/>
          <w:szCs w:val="22"/>
          <w:lang w:eastAsia="en-US"/>
        </w:rPr>
        <w:t xml:space="preserve">Místem předání a převzetí </w:t>
      </w:r>
      <w:r w:rsidR="004B0683">
        <w:rPr>
          <w:rFonts w:ascii="Calibri" w:eastAsia="Calibri" w:hAnsi="Calibri"/>
          <w:sz w:val="22"/>
          <w:szCs w:val="22"/>
          <w:lang w:eastAsia="en-US"/>
        </w:rPr>
        <w:t>dodávky</w:t>
      </w:r>
      <w:r w:rsidRPr="008F3442">
        <w:rPr>
          <w:rFonts w:ascii="Calibri" w:eastAsia="Calibri" w:hAnsi="Calibri"/>
          <w:sz w:val="22"/>
          <w:szCs w:val="22"/>
          <w:lang w:eastAsia="en-US"/>
        </w:rPr>
        <w:t xml:space="preserve"> je </w:t>
      </w:r>
      <w:r w:rsidR="00674C94">
        <w:rPr>
          <w:rFonts w:ascii="Calibri" w:eastAsia="Calibri" w:hAnsi="Calibri"/>
          <w:sz w:val="22"/>
          <w:szCs w:val="22"/>
          <w:lang w:eastAsia="en-US"/>
        </w:rPr>
        <w:t>uveden v článku IV</w:t>
      </w:r>
      <w:r w:rsidRPr="008F3442">
        <w:rPr>
          <w:rFonts w:ascii="Calibri" w:eastAsia="Calibri" w:hAnsi="Calibri"/>
          <w:sz w:val="22"/>
          <w:szCs w:val="22"/>
          <w:lang w:eastAsia="en-US"/>
        </w:rPr>
        <w:t>.</w:t>
      </w:r>
      <w:r w:rsidR="00674C94">
        <w:rPr>
          <w:rFonts w:ascii="Calibri" w:eastAsia="Calibri" w:hAnsi="Calibri"/>
          <w:sz w:val="22"/>
          <w:szCs w:val="22"/>
          <w:lang w:eastAsia="en-US"/>
        </w:rPr>
        <w:t xml:space="preserve"> odst. 2 této smlouvy.</w:t>
      </w:r>
    </w:p>
    <w:p w:rsidR="00674C94" w:rsidRPr="008F3442" w:rsidRDefault="00674C94" w:rsidP="00674C9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7166" w:rsidRDefault="00674C94" w:rsidP="008F3442">
      <w:pPr>
        <w:numPr>
          <w:ilvl w:val="0"/>
          <w:numId w:val="34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>Kupující je oprávněn přizvat k předání a převzetí zboží i jiné osoby, jejichž účast pokládá za nezbytnou (např. budoucího uživatele)</w:t>
      </w:r>
      <w:r w:rsidR="006D7166" w:rsidRPr="008F3442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674C94" w:rsidRPr="008F3442" w:rsidRDefault="00674C94" w:rsidP="00674C9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7166" w:rsidRPr="008F3442" w:rsidRDefault="00674C94" w:rsidP="008F3442">
      <w:pPr>
        <w:numPr>
          <w:ilvl w:val="0"/>
          <w:numId w:val="34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 xml:space="preserve">O průběhu předávacího a přejímacího řízení pořídí </w:t>
      </w:r>
      <w:r>
        <w:rPr>
          <w:rFonts w:ascii="Calibri" w:eastAsia="Calibri" w:hAnsi="Calibri"/>
          <w:sz w:val="22"/>
          <w:szCs w:val="22"/>
          <w:lang w:eastAsia="en-US"/>
        </w:rPr>
        <w:t>smluvní strany</w:t>
      </w:r>
      <w:r w:rsidRPr="00674C94">
        <w:rPr>
          <w:rFonts w:ascii="Calibri" w:eastAsia="Calibri" w:hAnsi="Calibri"/>
          <w:sz w:val="22"/>
          <w:szCs w:val="22"/>
          <w:lang w:eastAsia="en-US"/>
        </w:rPr>
        <w:t xml:space="preserve"> zápis (protokol). Povinným obsahem protokolu jsou</w:t>
      </w:r>
      <w:r w:rsidR="006D7166" w:rsidRPr="008F3442">
        <w:rPr>
          <w:rFonts w:ascii="Calibri" w:eastAsia="Calibri" w:hAnsi="Calibri"/>
          <w:sz w:val="22"/>
          <w:szCs w:val="22"/>
          <w:lang w:eastAsia="en-US"/>
        </w:rPr>
        <w:t>:</w:t>
      </w:r>
    </w:p>
    <w:p w:rsidR="006D7166" w:rsidRPr="008F3442" w:rsidRDefault="00674C94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>údaje o prodávajícím a kupujícím</w:t>
      </w:r>
    </w:p>
    <w:p w:rsidR="006D7166" w:rsidRPr="008F3442" w:rsidRDefault="00674C94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>popis dodávky, která je předmětem předání a převzetí</w:t>
      </w:r>
    </w:p>
    <w:p w:rsidR="006D7166" w:rsidRPr="008F3442" w:rsidRDefault="006D7166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442">
        <w:rPr>
          <w:rFonts w:ascii="Calibri" w:eastAsia="Calibri" w:hAnsi="Calibri"/>
          <w:sz w:val="22"/>
          <w:szCs w:val="22"/>
          <w:lang w:eastAsia="en-US"/>
        </w:rPr>
        <w:t>termín, od kterého počíná běžet záruční lhůta</w:t>
      </w:r>
    </w:p>
    <w:p w:rsidR="006D7166" w:rsidRPr="008F3442" w:rsidRDefault="00674C94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4C94">
        <w:rPr>
          <w:rFonts w:ascii="Calibri" w:eastAsia="Calibri" w:hAnsi="Calibri"/>
          <w:sz w:val="22"/>
          <w:szCs w:val="22"/>
          <w:lang w:eastAsia="en-US"/>
        </w:rPr>
        <w:t>prohlášení kupujícího, zda zboží přejímá nebo nepřejímá</w:t>
      </w:r>
    </w:p>
    <w:p w:rsidR="006D7166" w:rsidRPr="008F3442" w:rsidRDefault="006D7166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442">
        <w:rPr>
          <w:rFonts w:ascii="Calibri" w:eastAsia="Calibri" w:hAnsi="Calibri"/>
          <w:sz w:val="22"/>
          <w:szCs w:val="22"/>
          <w:lang w:eastAsia="en-US"/>
        </w:rPr>
        <w:t xml:space="preserve">Obsahuje-li </w:t>
      </w:r>
      <w:r w:rsidR="00674C94">
        <w:rPr>
          <w:rFonts w:ascii="Calibri" w:eastAsia="Calibri" w:hAnsi="Calibri"/>
          <w:sz w:val="22"/>
          <w:szCs w:val="22"/>
          <w:lang w:eastAsia="en-US"/>
        </w:rPr>
        <w:t>Dodávka</w:t>
      </w:r>
      <w:r w:rsidRPr="008F3442">
        <w:rPr>
          <w:rFonts w:ascii="Calibri" w:eastAsia="Calibri" w:hAnsi="Calibri"/>
          <w:sz w:val="22"/>
          <w:szCs w:val="22"/>
          <w:lang w:eastAsia="en-US"/>
        </w:rPr>
        <w:t>, kter</w:t>
      </w:r>
      <w:r w:rsidR="00674C94">
        <w:rPr>
          <w:rFonts w:ascii="Calibri" w:eastAsia="Calibri" w:hAnsi="Calibri"/>
          <w:sz w:val="22"/>
          <w:szCs w:val="22"/>
          <w:lang w:eastAsia="en-US"/>
        </w:rPr>
        <w:t>á</w:t>
      </w:r>
      <w:r w:rsidRPr="008F3442">
        <w:rPr>
          <w:rFonts w:ascii="Calibri" w:eastAsia="Calibri" w:hAnsi="Calibri"/>
          <w:sz w:val="22"/>
          <w:szCs w:val="22"/>
          <w:lang w:eastAsia="en-US"/>
        </w:rPr>
        <w:t xml:space="preserve"> je předmětem předání a převzetí vady, musí protokol obsahovat i:</w:t>
      </w:r>
    </w:p>
    <w:p w:rsidR="008F3442" w:rsidRDefault="006D7166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442">
        <w:rPr>
          <w:rFonts w:ascii="Calibri" w:eastAsia="Calibri" w:hAnsi="Calibri"/>
          <w:sz w:val="22"/>
          <w:szCs w:val="22"/>
          <w:lang w:eastAsia="en-US"/>
        </w:rPr>
        <w:t xml:space="preserve">soupis zjištěných vad </w:t>
      </w:r>
    </w:p>
    <w:p w:rsidR="006D7166" w:rsidRDefault="006D7166" w:rsidP="008F3442">
      <w:pPr>
        <w:numPr>
          <w:ilvl w:val="0"/>
          <w:numId w:val="36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442">
        <w:rPr>
          <w:rFonts w:ascii="Calibri" w:eastAsia="Calibri" w:hAnsi="Calibri"/>
          <w:sz w:val="22"/>
          <w:szCs w:val="22"/>
          <w:lang w:eastAsia="en-US"/>
        </w:rPr>
        <w:t>dohodu o způsobu a termínech jejich odstranění, popřípadě o jiném způsobu narovnání</w:t>
      </w:r>
    </w:p>
    <w:p w:rsidR="00AA210C" w:rsidRDefault="00AA210C" w:rsidP="00AA210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210C" w:rsidRDefault="00AA210C" w:rsidP="00AA210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210C" w:rsidRPr="008F3442" w:rsidRDefault="00AA210C" w:rsidP="00AA210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56F2" w:rsidRDefault="00AC56F2" w:rsidP="00AB40B8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b/>
        </w:rPr>
      </w:pPr>
    </w:p>
    <w:p w:rsidR="00AC56F2" w:rsidRPr="008F3442" w:rsidRDefault="00AC56F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8F3442" w:rsidRDefault="00AC56F2" w:rsidP="008F3442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>Záruka</w:t>
      </w:r>
      <w:r w:rsidR="00AB40B8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za jakost</w:t>
      </w:r>
    </w:p>
    <w:p w:rsidR="006D7166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 odpovídá za vady, jež má předmět dodávky v době jeho předání a dále odpovídá za vady zjištěné v záruční době</w:t>
      </w:r>
      <w:r w:rsidR="006D716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</w:p>
    <w:p w:rsidR="00AB40B8" w:rsidRPr="008F3442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D7166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 neodpovídá za vady předmětu dodávky, které byly způsobeny kupujícím, třetí osobou nebo vyšší mocí</w:t>
      </w:r>
      <w:r w:rsidR="006D716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B40B8" w:rsidRPr="008F3442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D7166" w:rsidRDefault="00AB40B8" w:rsidP="00AB40B8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3F126D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Záruka za jakost je sjednána v délce </w:t>
      </w:r>
      <w:r w:rsidR="00502B2B" w:rsidRPr="003F126D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60</w:t>
      </w:r>
      <w:r w:rsidRPr="003F126D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měsíců pro předmět dodávky</w:t>
      </w:r>
      <w:r w:rsidR="003F126D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3F126D" w:rsidRPr="003F126D" w:rsidRDefault="003F126D" w:rsidP="003F126D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D7166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Záruční lhůta neběží po dobu, po kterou kupující nemohl zboží užívat pro vady zboží, za které prodávající odpovídá</w:t>
      </w:r>
      <w:r w:rsidR="006D716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</w:p>
    <w:p w:rsidR="00AB40B8" w:rsidRPr="008F3442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D7166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 je povinen vady písemně reklamovat u prodávajícího bez zbytečného odkladu po jejich zjištění. Oznámení (reklamaci) uplatní telefonicky nebo na jeho emailové adrese. V reklamaci musí být vady popsány nebo uvedeno jak se projevují</w:t>
      </w:r>
      <w:r w:rsidR="006D716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B40B8" w:rsidRPr="008F3442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E83302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Hlášení závad a reklamací přijímá prodávající na tel. </w:t>
      </w:r>
      <w:r w:rsidRPr="00AA210C">
        <w:rPr>
          <w:rFonts w:ascii="Calibri" w:eastAsia="Calibri" w:hAnsi="Calibri"/>
          <w:snapToGrid/>
          <w:color w:val="auto"/>
          <w:sz w:val="22"/>
          <w:szCs w:val="22"/>
          <w:highlight w:val="yellow"/>
          <w:lang w:eastAsia="en-US"/>
        </w:rPr>
        <w:t xml:space="preserve">č. </w:t>
      </w:r>
      <w:r w:rsidR="00AA210C" w:rsidRPr="00AA210C">
        <w:rPr>
          <w:rFonts w:ascii="Calibri" w:eastAsia="Calibri" w:hAnsi="Calibri"/>
          <w:snapToGrid/>
          <w:color w:val="auto"/>
          <w:sz w:val="22"/>
          <w:szCs w:val="22"/>
          <w:highlight w:val="yellow"/>
          <w:lang w:eastAsia="en-US"/>
        </w:rPr>
        <w:t>………………………….</w:t>
      </w:r>
      <w:r w:rsidRPr="00AA210C">
        <w:rPr>
          <w:rFonts w:ascii="Calibri" w:eastAsia="Calibri" w:hAnsi="Calibri"/>
          <w:snapToGrid/>
          <w:color w:val="auto"/>
          <w:sz w:val="22"/>
          <w:szCs w:val="22"/>
          <w:highlight w:val="yellow"/>
          <w:lang w:eastAsia="en-US"/>
        </w:rPr>
        <w:t xml:space="preserve"> nebo e-mailové adrese </w:t>
      </w:r>
      <w:r w:rsidR="00AA210C" w:rsidRPr="00AA210C">
        <w:rPr>
          <w:rFonts w:ascii="Calibri" w:eastAsia="Calibri" w:hAnsi="Calibri"/>
          <w:snapToGrid/>
          <w:color w:val="auto"/>
          <w:sz w:val="22"/>
          <w:szCs w:val="22"/>
          <w:highlight w:val="yellow"/>
          <w:lang w:eastAsia="en-US"/>
        </w:rPr>
        <w:t>…………………………………………………….</w:t>
      </w:r>
    </w:p>
    <w:p w:rsidR="00AB40B8" w:rsidRPr="008F3442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B40B8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Reklamaci lze uplatnit nejpozději do posledního dne záruční lhůty, přičemž reklamace odeslaná kupujícím v poslední den záruční lhůty se považuje za včas uplatněnou</w:t>
      </w:r>
      <w:r w:rsidR="006D716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B40B8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D7166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 je povinen odstranit vady předmětu smlouvy v záruční době na základě doručené reklamace do 5 dnů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B40B8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B40B8" w:rsidRDefault="00AB40B8" w:rsidP="008F3442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Ukáže-li se, že vada 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dodávky</w:t>
      </w: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je neodstranitelná, zavazuje se prodávající dodat kupujícímu bez zbytečného odkladu bezplatně náhradní zboží a převést vlastnické právo k němu na kupujícího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B40B8" w:rsidRDefault="00AB40B8" w:rsidP="00AB40B8">
      <w:pPr>
        <w:pStyle w:val="Zkladntext"/>
        <w:tabs>
          <w:tab w:val="num" w:pos="2160"/>
        </w:tabs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B40B8" w:rsidRPr="00AB40B8" w:rsidRDefault="00AB40B8" w:rsidP="00AB40B8">
      <w:pPr>
        <w:pStyle w:val="Zkladntext"/>
        <w:numPr>
          <w:ilvl w:val="0"/>
          <w:numId w:val="37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B40B8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O odstranění reklamované vady sepíše kupující protokol, ve kterém potvrdí odstranění vady nebo uvede důvody, pro které odmítá opravu převzít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F204C1" w:rsidRDefault="00F204C1" w:rsidP="00E83302">
      <w:pPr>
        <w:pStyle w:val="Zkladntext"/>
        <w:spacing w:line="240" w:lineRule="atLeast"/>
        <w:rPr>
          <w:rFonts w:ascii="Arial" w:hAnsi="Arial"/>
          <w:b/>
        </w:rPr>
      </w:pPr>
    </w:p>
    <w:p w:rsidR="00AC56F2" w:rsidRPr="00112AB4" w:rsidRDefault="008F344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Cs/>
          <w:sz w:val="22"/>
          <w:szCs w:val="22"/>
          <w:lang w:eastAsia="en-US"/>
        </w:rPr>
        <w:br/>
      </w:r>
      <w:r w:rsidR="00AC56F2" w:rsidRPr="00112AB4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Vlastnictví </w:t>
      </w:r>
      <w:r w:rsidR="00567104" w:rsidRPr="00112AB4">
        <w:rPr>
          <w:rFonts w:ascii="Calibri" w:eastAsia="Calibri" w:hAnsi="Calibri"/>
          <w:b/>
          <w:iCs/>
          <w:sz w:val="22"/>
          <w:szCs w:val="22"/>
          <w:lang w:eastAsia="en-US"/>
        </w:rPr>
        <w:t>zboží</w:t>
      </w:r>
      <w:r w:rsidR="00AC56F2" w:rsidRPr="00112AB4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a nebezpečí škody na </w:t>
      </w:r>
      <w:r w:rsidR="00567104" w:rsidRPr="00112AB4">
        <w:rPr>
          <w:rFonts w:ascii="Calibri" w:eastAsia="Calibri" w:hAnsi="Calibri"/>
          <w:b/>
          <w:iCs/>
          <w:sz w:val="22"/>
          <w:szCs w:val="22"/>
          <w:lang w:eastAsia="en-US"/>
        </w:rPr>
        <w:t>zboží</w:t>
      </w:r>
      <w:r w:rsidR="00AC56F2" w:rsidRPr="00112AB4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</w:t>
      </w:r>
    </w:p>
    <w:p w:rsidR="006D7166" w:rsidRPr="00112AB4" w:rsidRDefault="00567104" w:rsidP="008F3442">
      <w:pPr>
        <w:pStyle w:val="Zkladntext"/>
        <w:numPr>
          <w:ilvl w:val="0"/>
          <w:numId w:val="38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Vlastníkem předmětu dodávky je až do úplného zaplacení prodávající</w:t>
      </w:r>
      <w:r w:rsidR="00CE6CFE"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567104" w:rsidRPr="00112AB4" w:rsidRDefault="00567104" w:rsidP="00567104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C56F2" w:rsidRPr="00112AB4" w:rsidRDefault="006D7166" w:rsidP="008F3442">
      <w:pPr>
        <w:pStyle w:val="Zkladntext"/>
        <w:numPr>
          <w:ilvl w:val="0"/>
          <w:numId w:val="38"/>
        </w:numPr>
        <w:tabs>
          <w:tab w:val="num" w:pos="2160"/>
        </w:tabs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Nebezpečí škody ve smyslu § </w:t>
      </w:r>
      <w:r w:rsidR="00112AB4"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1974 NOZ</w:t>
      </w:r>
      <w:r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nese od počátku </w:t>
      </w:r>
      <w:r w:rsidR="00112AB4"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</w:t>
      </w:r>
      <w:r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, a to až do doby řádného předání a převzetí </w:t>
      </w:r>
      <w:r w:rsidR="00112AB4"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předmětu dodávky mezi prodávajícím a kupujícím</w:t>
      </w:r>
      <w:r w:rsidRPr="00112AB4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593556" w:rsidRDefault="00593556" w:rsidP="00E83302">
      <w:pPr>
        <w:pStyle w:val="Zkladntext"/>
        <w:tabs>
          <w:tab w:val="num" w:pos="2160"/>
        </w:tabs>
        <w:spacing w:line="240" w:lineRule="atLeast"/>
        <w:rPr>
          <w:rFonts w:ascii="Arial" w:hAnsi="Arial"/>
          <w:b/>
        </w:rPr>
      </w:pPr>
    </w:p>
    <w:p w:rsidR="008F3442" w:rsidRDefault="008F344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AC56F2" w:rsidRPr="008F3442" w:rsidRDefault="00AC56F2" w:rsidP="008F3442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>Vyšší moc</w:t>
      </w:r>
    </w:p>
    <w:p w:rsidR="009545B8" w:rsidRDefault="00625186" w:rsidP="009545B8">
      <w:pPr>
        <w:pStyle w:val="Zkladntext"/>
        <w:numPr>
          <w:ilvl w:val="0"/>
          <w:numId w:val="40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Za vyšší moc se považují okolnosti mající vliv na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dodávku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, které nejsou závislé na smluvních stranách a které smluvní strany nemohou ovlivnit. Jedná se např. o válku, mobilizaci, povstání, živelné pohromy apod. </w:t>
      </w:r>
    </w:p>
    <w:p w:rsidR="009545B8" w:rsidRPr="009545B8" w:rsidRDefault="009545B8" w:rsidP="009545B8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C56F2" w:rsidRPr="008F3442" w:rsidRDefault="00B14BCC" w:rsidP="008F3442">
      <w:pPr>
        <w:pStyle w:val="Zkladntext"/>
        <w:numPr>
          <w:ilvl w:val="0"/>
          <w:numId w:val="40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Pokud se dodání zboží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</w:t>
      </w:r>
      <w:r w:rsidR="0062518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  <w:r w:rsidR="00AC56F2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</w:t>
      </w:r>
    </w:p>
    <w:p w:rsidR="00A246D6" w:rsidRDefault="00A246D6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</w:p>
    <w:p w:rsidR="00AA210C" w:rsidRDefault="00AA210C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</w:p>
    <w:p w:rsidR="00AA210C" w:rsidRDefault="00AA210C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</w:rPr>
      </w:pPr>
    </w:p>
    <w:p w:rsidR="00AC56F2" w:rsidRPr="008F3442" w:rsidRDefault="008F344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Cs/>
          <w:sz w:val="22"/>
          <w:szCs w:val="22"/>
          <w:lang w:eastAsia="en-US"/>
        </w:rPr>
        <w:br/>
      </w:r>
      <w:r w:rsidR="00AC56F2"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Odstoupení od smlouvy </w:t>
      </w:r>
    </w:p>
    <w:p w:rsidR="00625186" w:rsidRDefault="00625186" w:rsidP="008F3442">
      <w:pPr>
        <w:pStyle w:val="Zkladntext"/>
        <w:numPr>
          <w:ilvl w:val="0"/>
          <w:numId w:val="41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Nastanou-li u některé ze stran skutečnosti bránící řádnému plnění této smlouvy je povinna to ihned bez zbytečného odkladu oznámit druhé straně a vyvolat jednání zástupců oprávněných k popisu smlouvy.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1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Chce-li některá ze stran od smlouvy odstoupit na základě ujednání ze smlouvy vyplývajících</w:t>
      </w:r>
      <w:r w:rsidR="0070163A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,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je povinna svoje odstoupení písemně oznámit druhé straně. V odstoupení musí být dále uveden důvod, pro který strana od smlouvy odstupuje a přesná citace toho bodu smlouvy, který ji k takovému kroku opravňuje. Bez těchto náležitostí je odstoupení neplatné.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1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Nesouhlasí-li jedna ze stran s důvodem odstoupení druhé strany nebo popírá-li jeho existenci je povinna to písemně oznámit nejpozději do deseti dnů po obdržení oznámení o odstoupení. Pokud tak neučiní, má se za to, že s důvodem odstoupení souhlasí.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1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</w:t>
      </w:r>
      <w:r w:rsidR="006C42E0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,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na kterém se strany dohodnou nebo den který vyplyne z rozhodnutí příslušného orgánu.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Pr="008F3442" w:rsidRDefault="00625186" w:rsidP="008F3442">
      <w:pPr>
        <w:pStyle w:val="Zkladntext"/>
        <w:numPr>
          <w:ilvl w:val="0"/>
          <w:numId w:val="41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Odstoupí-li některá ze stran od této smlouvy na základě ujednání z této smlouvy vyplývajících, pak</w:t>
      </w:r>
      <w:r w:rsidR="00553B38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si smluvní strany vrátí navzájem poskytnutá plnění; v případě, že od smlouvy odstoupí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</w:t>
      </w:r>
      <w:r w:rsidR="00553B38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, uhradí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</w:t>
      </w:r>
      <w:r w:rsidR="004B0683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kupujícímu</w:t>
      </w:r>
      <w:r w:rsidR="00553B38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smluvní pokutu ve výši 10% z ceny Díla, přičemž tato smluvní pokuta je splatná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</w:t>
      </w:r>
      <w:r w:rsidR="00553B38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k výzvě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kupujícího</w:t>
      </w:r>
      <w:r w:rsidR="00553B38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AC56F2" w:rsidRDefault="00AC56F2">
      <w:pPr>
        <w:jc w:val="both"/>
        <w:rPr>
          <w:rFonts w:ascii="Arial" w:hAnsi="Arial"/>
        </w:rPr>
      </w:pPr>
    </w:p>
    <w:p w:rsidR="00553B38" w:rsidRPr="008F3442" w:rsidRDefault="00553B38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:rsidR="00553B38" w:rsidRPr="008F3442" w:rsidRDefault="00756479" w:rsidP="008F3442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>Další</w:t>
      </w:r>
      <w:r w:rsidR="00553B38"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ujednání</w:t>
      </w:r>
    </w:p>
    <w:p w:rsidR="00553B38" w:rsidRDefault="00553B38">
      <w:pPr>
        <w:jc w:val="both"/>
        <w:rPr>
          <w:rFonts w:ascii="Arial" w:hAnsi="Arial"/>
        </w:rPr>
      </w:pPr>
    </w:p>
    <w:p w:rsidR="00756479" w:rsidRDefault="004B0683" w:rsidP="008F3442">
      <w:pPr>
        <w:pStyle w:val="Zkladntext"/>
        <w:numPr>
          <w:ilvl w:val="0"/>
          <w:numId w:val="42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</w:t>
      </w: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</w:t>
      </w:r>
      <w:r w:rsidR="00B14BCC"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bere na vědomí, že toto Dílo je spolufinancováno z veřejných prostředků – Dotace z Operačního programu Životní prostředí</w:t>
      </w:r>
      <w:r w:rsidR="00756479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756479" w:rsidRDefault="00B14BCC" w:rsidP="00B14BCC">
      <w:pPr>
        <w:pStyle w:val="Zkladntext"/>
        <w:numPr>
          <w:ilvl w:val="0"/>
          <w:numId w:val="42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Účinnost této smlouvy je podmíněna přidělením finančních prostředků z Operačního programu Životní prostředí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kupujícímu</w:t>
      </w: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– tj. zasláním Rozhodnutí o přidělení dotace a uzavřením Smlouvy o podpoře z výše uvedeného programu, která dosud není uzavřena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B14BCC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B14BCC" w:rsidRDefault="00B14BCC" w:rsidP="00B14BCC">
      <w:pPr>
        <w:pStyle w:val="Zkladntext"/>
        <w:numPr>
          <w:ilvl w:val="0"/>
          <w:numId w:val="42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V případě, že kupujícímu nebudou přiděleny finanční prostředky pro krytí výdajů plynoucích z realizace celého nebo části projektu, resp. této smlouvy, případně tyto náklady budou označeny za nezpůsobilé, má kupující právo od smlouvy odstoupit.  Odstoupení je účinné okamžikem doručení písemného oznámení o odstoupení druhé smluvní straně. Kupující je oprávněn od smlouvy odstoupit rovněž v případě, pokud prodávající řádně nesplní předmět plnění Veřejné zakázky v termínu stanoveném v čl. V. této smlouvy a kupující tak na úhradu kupní ceny nebude moci čerpat finanční prostředky z veřejných prostředků. V případě odstoupení nemá prodávající nárok na odstupné. Odstoupení je účinné okamžikem jeho doručení prodávajícímu. Při odstoupení od smlouvy z důvodu nesplnění termínu dodávky je prodávající povinen uhradit kupujícímu vzniklou škodu</w:t>
      </w: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.</w:t>
      </w:r>
    </w:p>
    <w:p w:rsidR="00B14BCC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B14BCC" w:rsidRPr="00B14BCC" w:rsidRDefault="00B14BCC" w:rsidP="00B14BCC">
      <w:pPr>
        <w:pStyle w:val="Zkladntext"/>
        <w:numPr>
          <w:ilvl w:val="0"/>
          <w:numId w:val="42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 si je vědom, že dle příslušných pravidel k uvedenému operačnímu programu je povinen spolupůsobit při výkonu finanční kontroly dle § 2 e) zákona č. 320/2001 Sb., o finanční kontrole ve veřejné správě a poskytnout v tomto ohledu kupujícímu, tak i příslušným kontrolním orgánům veškerou potřebnou součinnost</w:t>
      </w:r>
    </w:p>
    <w:p w:rsidR="00553B38" w:rsidRDefault="00553B38">
      <w:pPr>
        <w:jc w:val="both"/>
        <w:rPr>
          <w:rFonts w:ascii="Arial" w:hAnsi="Arial"/>
        </w:rPr>
      </w:pPr>
    </w:p>
    <w:p w:rsidR="00AA210C" w:rsidRDefault="00AA210C">
      <w:pPr>
        <w:jc w:val="both"/>
        <w:rPr>
          <w:rFonts w:ascii="Arial" w:hAnsi="Arial"/>
        </w:rPr>
      </w:pPr>
    </w:p>
    <w:p w:rsidR="00AC56F2" w:rsidRPr="008F3442" w:rsidRDefault="008F3442" w:rsidP="008F3442">
      <w:pPr>
        <w:numPr>
          <w:ilvl w:val="0"/>
          <w:numId w:val="30"/>
        </w:num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iCs/>
          <w:sz w:val="22"/>
          <w:szCs w:val="22"/>
          <w:lang w:eastAsia="en-US"/>
        </w:rPr>
        <w:lastRenderedPageBreak/>
        <w:br/>
      </w:r>
      <w:r w:rsidR="00AC56F2" w:rsidRPr="008F3442">
        <w:rPr>
          <w:rFonts w:ascii="Calibri" w:eastAsia="Calibri" w:hAnsi="Calibri"/>
          <w:b/>
          <w:iCs/>
          <w:sz w:val="22"/>
          <w:szCs w:val="22"/>
          <w:lang w:eastAsia="en-US"/>
        </w:rPr>
        <w:t>Závěrečná ujednání</w:t>
      </w: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Tuto smlouvu lze měnit nebo rušit pouze písemným oboustranně potvrzeným smluvním ujednáním, výslovně nazvaným Dodatek ke smlouvě popř. dohodou. Jiné zápisy, protokoly apod., se za změnu smlouvy nepovažují.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K platnosti dodatků této smlouvy se vyžaduje dohoda o celém obsahu.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Nastanou-li u některé ze stran skutečnosti bránící řádnému plnění této smlouvy, je povinna to ihned bez zbytečného odkladu oznámit druhé straně a vyvolat jednání zástupců oprávněných k podpisu smlouvy.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K návrhům změn – dodatkům smlouvy se smluvní strany zavazují vyjádřit písemně, do 15 dnů od doručení návrhu dodatku druhé straně. Po stejnou dobu je tímto návrhem vázána strana, která jej podala.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B14BCC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B14BC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Tato smlouva je vypracována ve čtyřech vyhotoveních, z nichž dvě si ponechá prodávající a dvě obdrží kupující</w:t>
      </w:r>
      <w:r w:rsidR="00625186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Obě strany prohlašují, že došlo k dohodě o celém rozsahu smlouvy.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Smluvní strany se dohodly, že veškeré spory mezi sebou budou řešit především smírem a vyvinou veškeré úsilí k tomu, aby byl dosažen bez zbytečné ztráty času. Vzniknou-li spory o výkladu smlouvy či jejích jednotlivých bodů, předloží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tento rozpor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kupujícímu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Kupující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musí vyvolat ústní jednání, na kterém se spor objasní a do jednoho týdne se zavazuje odpovědět </w:t>
      </w:r>
      <w:r w:rsidR="004B0683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prodávajícímu</w:t>
      </w: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625186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K řešení a rozhodnutí sporů jsou oprávněny výlučně osoby zmocněné statutárními orgány k jednání na základě speciální plné moci. V případě, že ani takto nedojde k vyřešení sporu, je každá ze smluvních stran oprávněna spor postoupit k rozhodnutí soudu. </w:t>
      </w:r>
    </w:p>
    <w:p w:rsidR="00B14BCC" w:rsidRPr="008F3442" w:rsidRDefault="00B14BCC" w:rsidP="00B14BCC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C56F2" w:rsidRPr="008F3442" w:rsidRDefault="00625186" w:rsidP="008F3442">
      <w:pPr>
        <w:pStyle w:val="Zkladntext"/>
        <w:numPr>
          <w:ilvl w:val="0"/>
          <w:numId w:val="43"/>
        </w:numPr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Smluvní strany po přečtení smlouvy prohlašují, že souhlasí s jejím obsahem, že smlouva byla sepsána určitě a srozumitelně na základě pravdivých údajů a jejich pravé a svobodné vůle, nikoliv v tísni a za jednostranně nevýhodných podmínek. Na důkaz toho připojují své vlastnoruční podpisy.</w:t>
      </w:r>
    </w:p>
    <w:p w:rsidR="00AC56F2" w:rsidRPr="008F3442" w:rsidRDefault="00AC56F2" w:rsidP="008F3442">
      <w:pPr>
        <w:pStyle w:val="Zkladntext"/>
        <w:spacing w:line="240" w:lineRule="atLeast"/>
        <w:ind w:left="360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p w:rsidR="00AC56F2" w:rsidRPr="008F3442" w:rsidRDefault="00AA210C" w:rsidP="008F3442">
      <w:pPr>
        <w:pStyle w:val="Zkladntext"/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Příloha a nedílná součást</w:t>
      </w:r>
      <w:r w:rsidR="00AC56F2" w:rsidRPr="008F3442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Smlouvy:</w:t>
      </w:r>
    </w:p>
    <w:p w:rsidR="00AC56F2" w:rsidRPr="00AA210C" w:rsidRDefault="00AC56F2" w:rsidP="0089440D">
      <w:pPr>
        <w:pStyle w:val="Zkladntext"/>
        <w:numPr>
          <w:ilvl w:val="0"/>
          <w:numId w:val="44"/>
        </w:numPr>
        <w:tabs>
          <w:tab w:val="clear" w:pos="1776"/>
          <w:tab w:val="num" w:pos="426"/>
        </w:tabs>
        <w:spacing w:line="240" w:lineRule="atLeast"/>
        <w:ind w:hanging="1776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  <w:r w:rsidRPr="00AA210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Nabídka </w:t>
      </w:r>
      <w:r w:rsidR="00B14BCC" w:rsidRPr="00AA210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>prodávajícího</w:t>
      </w:r>
      <w:r w:rsidRPr="00AA210C">
        <w:rPr>
          <w:rFonts w:ascii="Calibri" w:eastAsia="Calibri" w:hAnsi="Calibri"/>
          <w:snapToGrid/>
          <w:color w:val="auto"/>
          <w:sz w:val="22"/>
          <w:szCs w:val="22"/>
          <w:lang w:eastAsia="en-US"/>
        </w:rPr>
        <w:t xml:space="preserve"> v rámci zadávacího řízení</w:t>
      </w:r>
    </w:p>
    <w:p w:rsidR="00AC56F2" w:rsidRDefault="00AC56F2">
      <w:pPr>
        <w:pStyle w:val="Zkladntext"/>
        <w:spacing w:line="240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635"/>
        <w:gridCol w:w="4634"/>
      </w:tblGrid>
      <w:tr w:rsidR="008F3442" w:rsidRPr="00B85A70" w:rsidTr="00AA210C">
        <w:trPr>
          <w:trHeight w:val="397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8F3442" w:rsidRDefault="008F3442" w:rsidP="00B14BCC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 </w:t>
            </w:r>
            <w:r w:rsidR="00B14BCC">
              <w:rPr>
                <w:rFonts w:ascii="Calibri" w:eastAsia="Calibri" w:hAnsi="Calibri"/>
                <w:sz w:val="22"/>
                <w:szCs w:val="22"/>
                <w:lang w:eastAsia="en-US"/>
              </w:rPr>
              <w:t>Prodávajícího</w:t>
            </w:r>
            <w:r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8F3442" w:rsidRDefault="008F3442" w:rsidP="00112AB4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 </w:t>
            </w:r>
            <w:r w:rsidR="00112AB4">
              <w:rPr>
                <w:rFonts w:ascii="Calibri" w:eastAsia="Calibri" w:hAnsi="Calibri"/>
                <w:sz w:val="22"/>
                <w:szCs w:val="22"/>
                <w:lang w:eastAsia="en-US"/>
              </w:rPr>
              <w:t>K</w:t>
            </w:r>
            <w:r w:rsidR="00B14BCC">
              <w:rPr>
                <w:rFonts w:ascii="Calibri" w:eastAsia="Calibri" w:hAnsi="Calibri"/>
                <w:sz w:val="22"/>
                <w:szCs w:val="22"/>
                <w:lang w:eastAsia="en-US"/>
              </w:rPr>
              <w:t>upujícího</w:t>
            </w:r>
            <w:r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  <w:tr w:rsidR="008F3442" w:rsidRPr="00B85A70" w:rsidTr="00AA210C">
        <w:trPr>
          <w:trHeight w:val="714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8F3442" w:rsidRDefault="008F3442" w:rsidP="0030021F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442" w:rsidRPr="008F3442" w:rsidRDefault="00AA210C" w:rsidP="0030021F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V…………………………..</w:t>
            </w:r>
            <w:r w:rsidR="004D2B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dne </w:t>
            </w:r>
            <w:r w:rsidR="00861B41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2016</w:t>
            </w:r>
          </w:p>
          <w:p w:rsidR="008F3442" w:rsidRPr="008F3442" w:rsidRDefault="008F3442" w:rsidP="0030021F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8F3442" w:rsidRDefault="008F3442" w:rsidP="0030021F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442" w:rsidRPr="008F3442" w:rsidRDefault="00F709F3" w:rsidP="009545B8">
            <w:pPr>
              <w:spacing w:after="240"/>
              <w:ind w:left="360" w:hanging="3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 </w:t>
            </w:r>
            <w:r w:rsidR="00A320A5">
              <w:rPr>
                <w:rFonts w:ascii="Calibri" w:eastAsia="Calibri" w:hAnsi="Calibri"/>
                <w:sz w:val="22"/>
                <w:szCs w:val="22"/>
                <w:lang w:eastAsia="en-US"/>
              </w:rPr>
              <w:t>Nemot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icích</w:t>
            </w:r>
            <w:r w:rsidR="008F3442"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dne …</w:t>
            </w:r>
            <w:r w:rsidR="00861B41">
              <w:rPr>
                <w:rFonts w:ascii="Calibri" w:eastAsia="Calibri" w:hAnsi="Calibri"/>
                <w:sz w:val="22"/>
                <w:szCs w:val="22"/>
                <w:lang w:eastAsia="en-US"/>
              </w:rPr>
              <w:t>………</w:t>
            </w:r>
            <w:r w:rsidR="008F3442" w:rsidRPr="008F3442">
              <w:rPr>
                <w:rFonts w:ascii="Calibri" w:eastAsia="Calibri" w:hAnsi="Calibri"/>
                <w:sz w:val="22"/>
                <w:szCs w:val="22"/>
                <w:lang w:eastAsia="en-US"/>
              </w:rPr>
              <w:t>……….. 201</w:t>
            </w:r>
            <w:r w:rsidR="00AA210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8F3442" w:rsidRPr="00B85A70" w:rsidTr="00AA210C">
        <w:trPr>
          <w:trHeight w:val="1191"/>
          <w:jc w:val="center"/>
        </w:trPr>
        <w:tc>
          <w:tcPr>
            <w:tcW w:w="4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B85A70" w:rsidRDefault="008F3442" w:rsidP="0030021F">
            <w:pPr>
              <w:spacing w:after="240"/>
              <w:ind w:left="360" w:hanging="36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42" w:rsidRPr="00B85A70" w:rsidRDefault="008F3442" w:rsidP="0030021F">
            <w:pPr>
              <w:spacing w:after="240"/>
              <w:ind w:left="360" w:hanging="360"/>
              <w:rPr>
                <w:rFonts w:eastAsia="Calibri"/>
                <w:szCs w:val="22"/>
                <w:lang w:eastAsia="en-US"/>
              </w:rPr>
            </w:pPr>
          </w:p>
          <w:p w:rsidR="008F3442" w:rsidRPr="00B85A70" w:rsidRDefault="008F3442" w:rsidP="0030021F">
            <w:pPr>
              <w:spacing w:after="240"/>
              <w:ind w:left="360" w:hanging="360"/>
              <w:rPr>
                <w:rFonts w:eastAsia="Calibri"/>
                <w:szCs w:val="22"/>
                <w:lang w:eastAsia="en-US"/>
              </w:rPr>
            </w:pPr>
          </w:p>
          <w:p w:rsidR="008F3442" w:rsidRPr="00B85A70" w:rsidRDefault="008F3442" w:rsidP="0030021F">
            <w:pPr>
              <w:spacing w:after="240"/>
              <w:ind w:left="360" w:hanging="36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8F3442" w:rsidRPr="008F3442" w:rsidRDefault="008F3442" w:rsidP="00AA210C">
      <w:pPr>
        <w:pStyle w:val="Zkladntext"/>
        <w:spacing w:line="240" w:lineRule="atLeast"/>
        <w:jc w:val="both"/>
        <w:rPr>
          <w:rFonts w:ascii="Calibri" w:eastAsia="Calibri" w:hAnsi="Calibri"/>
          <w:snapToGrid/>
          <w:color w:val="auto"/>
          <w:sz w:val="22"/>
          <w:szCs w:val="22"/>
          <w:lang w:eastAsia="en-US"/>
        </w:rPr>
      </w:pPr>
    </w:p>
    <w:sectPr w:rsidR="008F3442" w:rsidRPr="008F3442" w:rsidSect="00B542D9">
      <w:footerReference w:type="even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03" w:rsidRDefault="00BA7403">
      <w:r>
        <w:separator/>
      </w:r>
    </w:p>
  </w:endnote>
  <w:endnote w:type="continuationSeparator" w:id="1">
    <w:p w:rsidR="00BA7403" w:rsidRDefault="00BA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BF" w:rsidRDefault="006800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E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4EBF" w:rsidRDefault="009E4E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BF" w:rsidRDefault="006800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E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80E">
      <w:rPr>
        <w:rStyle w:val="slostrnky"/>
        <w:noProof/>
      </w:rPr>
      <w:t>4</w:t>
    </w:r>
    <w:r>
      <w:rPr>
        <w:rStyle w:val="slostrnky"/>
      </w:rPr>
      <w:fldChar w:fldCharType="end"/>
    </w:r>
  </w:p>
  <w:p w:rsidR="008F3442" w:rsidRDefault="008F3442" w:rsidP="008F3442">
    <w:pPr>
      <w:pStyle w:val="Zpat"/>
      <w:rPr>
        <w:rStyle w:val="slostrnky"/>
        <w:rFonts w:ascii="Tahoma" w:hAnsi="Tahoma" w:cs="Tahoma"/>
        <w:sz w:val="14"/>
        <w:szCs w:val="14"/>
      </w:rPr>
    </w:pPr>
    <w:r>
      <w:rPr>
        <w:rStyle w:val="slostrnky"/>
        <w:rFonts w:ascii="Tahoma" w:hAnsi="Tahoma" w:cs="Tahoma"/>
        <w:sz w:val="14"/>
        <w:szCs w:val="14"/>
      </w:rPr>
      <w:t xml:space="preserve">Zadavatel: </w:t>
    </w:r>
    <w:r w:rsidR="00DB05F7">
      <w:rPr>
        <w:rStyle w:val="slostrnky"/>
        <w:rFonts w:ascii="Tahoma" w:hAnsi="Tahoma" w:cs="Tahoma"/>
        <w:sz w:val="14"/>
        <w:szCs w:val="14"/>
      </w:rPr>
      <w:t xml:space="preserve">Svazek </w:t>
    </w:r>
    <w:r w:rsidR="00A155B0">
      <w:rPr>
        <w:rStyle w:val="slostrnky"/>
        <w:rFonts w:ascii="Tahoma" w:hAnsi="Tahoma" w:cs="Tahoma"/>
        <w:sz w:val="14"/>
        <w:szCs w:val="14"/>
      </w:rPr>
      <w:t>obcí Mezihoří</w:t>
    </w:r>
  </w:p>
  <w:p w:rsidR="008F3442" w:rsidRPr="006F6100" w:rsidRDefault="008F3442" w:rsidP="008F3442">
    <w:pPr>
      <w:pStyle w:val="Zpat"/>
    </w:pPr>
    <w:r w:rsidRPr="00F37BA7">
      <w:rPr>
        <w:rStyle w:val="slostrnky"/>
        <w:rFonts w:ascii="Tahoma" w:hAnsi="Tahoma" w:cs="Tahoma"/>
        <w:sz w:val="14"/>
        <w:szCs w:val="14"/>
      </w:rPr>
      <w:t>Zadávací dokumentace</w:t>
    </w:r>
    <w:r w:rsidR="00DB05F7">
      <w:rPr>
        <w:rStyle w:val="slostrnky"/>
        <w:rFonts w:ascii="Tahoma" w:hAnsi="Tahoma" w:cs="Tahoma"/>
        <w:sz w:val="14"/>
        <w:szCs w:val="14"/>
      </w:rPr>
      <w:t xml:space="preserve"> </w:t>
    </w:r>
    <w:r w:rsidR="004549AE">
      <w:rPr>
        <w:rStyle w:val="slostrnky"/>
        <w:rFonts w:ascii="Tahoma" w:hAnsi="Tahoma" w:cs="Tahoma"/>
        <w:sz w:val="14"/>
        <w:szCs w:val="14"/>
      </w:rPr>
      <w:t>„Ozelenění obcí SO Mezihoří“</w:t>
    </w:r>
    <w:r w:rsidR="004549AE">
      <w:rPr>
        <w:rStyle w:val="slostrnky"/>
        <w:rFonts w:ascii="Tahoma" w:hAnsi="Tahoma" w:cs="Tahoma"/>
        <w:sz w:val="14"/>
        <w:szCs w:val="14"/>
      </w:rPr>
      <w:tab/>
    </w:r>
    <w:r>
      <w:rPr>
        <w:rStyle w:val="slostrnky"/>
        <w:rFonts w:ascii="Tahoma" w:hAnsi="Tahoma" w:cs="Tahoma"/>
        <w:sz w:val="14"/>
        <w:szCs w:val="14"/>
      </w:rPr>
      <w:tab/>
    </w:r>
    <w:r w:rsidRPr="006F6100">
      <w:rPr>
        <w:rStyle w:val="slostrnky"/>
        <w:rFonts w:ascii="Tahoma" w:hAnsi="Tahoma" w:cs="Tahoma"/>
        <w:sz w:val="14"/>
        <w:szCs w:val="14"/>
      </w:rPr>
      <w:t xml:space="preserve">Strana </w: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PAGE </w:instrTex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E4380E">
      <w:rPr>
        <w:rStyle w:val="slostrnky"/>
        <w:rFonts w:ascii="Tahoma" w:hAnsi="Tahoma" w:cs="Tahoma"/>
        <w:noProof/>
        <w:sz w:val="14"/>
        <w:szCs w:val="14"/>
      </w:rPr>
      <w:t>4</w: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 xml:space="preserve"> (celkem </w: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begin"/>
    </w:r>
    <w:r w:rsidRPr="006F6100">
      <w:rPr>
        <w:rStyle w:val="slostrnky"/>
        <w:rFonts w:ascii="Tahoma" w:hAnsi="Tahoma" w:cs="Tahoma"/>
        <w:sz w:val="14"/>
        <w:szCs w:val="14"/>
      </w:rPr>
      <w:instrText xml:space="preserve"> NUMPAGES </w:instrTex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separate"/>
    </w:r>
    <w:r w:rsidR="00E4380E">
      <w:rPr>
        <w:rStyle w:val="slostrnky"/>
        <w:rFonts w:ascii="Tahoma" w:hAnsi="Tahoma" w:cs="Tahoma"/>
        <w:noProof/>
        <w:sz w:val="14"/>
        <w:szCs w:val="14"/>
      </w:rPr>
      <w:t>7</w:t>
    </w:r>
    <w:r w:rsidR="0068001D" w:rsidRPr="006F6100">
      <w:rPr>
        <w:rStyle w:val="slostrnky"/>
        <w:rFonts w:ascii="Tahoma" w:hAnsi="Tahoma" w:cs="Tahoma"/>
        <w:sz w:val="14"/>
        <w:szCs w:val="14"/>
      </w:rPr>
      <w:fldChar w:fldCharType="end"/>
    </w:r>
    <w:r w:rsidRPr="006F6100">
      <w:rPr>
        <w:rStyle w:val="slostrnky"/>
        <w:rFonts w:ascii="Tahoma" w:hAnsi="Tahoma" w:cs="Tahoma"/>
        <w:sz w:val="14"/>
        <w:szCs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03" w:rsidRDefault="00BA7403">
      <w:r>
        <w:separator/>
      </w:r>
    </w:p>
  </w:footnote>
  <w:footnote w:type="continuationSeparator" w:id="1">
    <w:p w:rsidR="00BA7403" w:rsidRDefault="00BA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27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C55E0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35F10DA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05473392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F5122"/>
    <w:multiLevelType w:val="hybridMultilevel"/>
    <w:tmpl w:val="2C9EECE6"/>
    <w:lvl w:ilvl="0" w:tplc="8DA6B236">
      <w:start w:val="3"/>
      <w:numFmt w:val="decimal"/>
      <w:lvlText w:val="%1.3.1."/>
      <w:lvlJc w:val="left"/>
      <w:pPr>
        <w:ind w:left="1117" w:hanging="360"/>
      </w:pPr>
      <w:rPr>
        <w:rFonts w:hint="default"/>
        <w:b w:val="0"/>
        <w:i w:val="0"/>
        <w:color w:val="auto"/>
        <w:sz w:val="20"/>
        <w:szCs w:val="28"/>
      </w:rPr>
    </w:lvl>
    <w:lvl w:ilvl="1" w:tplc="F0EE65EE">
      <w:start w:val="1"/>
      <w:numFmt w:val="decimal"/>
      <w:pStyle w:val="Odstavecseseznamem"/>
      <w:lvlText w:val="2.%2.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2D7C45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744B3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3E6BCA"/>
    <w:multiLevelType w:val="hybridMultilevel"/>
    <w:tmpl w:val="E4342FB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6442902"/>
    <w:multiLevelType w:val="hybridMultilevel"/>
    <w:tmpl w:val="2328195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7AA557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0F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C40C55"/>
    <w:multiLevelType w:val="hybridMultilevel"/>
    <w:tmpl w:val="70A0278C"/>
    <w:lvl w:ilvl="0" w:tplc="5D02996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ADE310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E24A3A"/>
    <w:multiLevelType w:val="hybridMultilevel"/>
    <w:tmpl w:val="9692FFE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9C26D9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31F95264"/>
    <w:multiLevelType w:val="hybridMultilevel"/>
    <w:tmpl w:val="31FAAD0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12C34"/>
    <w:multiLevelType w:val="hybridMultilevel"/>
    <w:tmpl w:val="8CDE8754"/>
    <w:lvl w:ilvl="0" w:tplc="91FC158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5">
    <w:nsid w:val="37BE23C1"/>
    <w:multiLevelType w:val="hybridMultilevel"/>
    <w:tmpl w:val="D4E60D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1E76FE"/>
    <w:multiLevelType w:val="hybridMultilevel"/>
    <w:tmpl w:val="865AA0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3C0D7D21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17E49EF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4C284E"/>
    <w:multiLevelType w:val="hybridMultilevel"/>
    <w:tmpl w:val="D318E400"/>
    <w:lvl w:ilvl="0" w:tplc="603A1FF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47A708FA"/>
    <w:multiLevelType w:val="hybridMultilevel"/>
    <w:tmpl w:val="B010FC66"/>
    <w:lvl w:ilvl="0" w:tplc="6978AE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C4D6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1D116D"/>
    <w:multiLevelType w:val="hybridMultilevel"/>
    <w:tmpl w:val="5BF8C58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5F580B8B"/>
    <w:multiLevelType w:val="hybridMultilevel"/>
    <w:tmpl w:val="2AC8986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6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BAE4E50"/>
    <w:multiLevelType w:val="hybridMultilevel"/>
    <w:tmpl w:val="434053BE"/>
    <w:lvl w:ilvl="0" w:tplc="AA10BD9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8">
    <w:nsid w:val="6C913B51"/>
    <w:multiLevelType w:val="hybridMultilevel"/>
    <w:tmpl w:val="65085776"/>
    <w:lvl w:ilvl="0" w:tplc="452AB998">
      <w:numFmt w:val="none"/>
      <w:lvlText w:val=""/>
      <w:lvlJc w:val="left"/>
      <w:pPr>
        <w:tabs>
          <w:tab w:val="num" w:pos="360"/>
        </w:tabs>
      </w:pPr>
    </w:lvl>
    <w:lvl w:ilvl="1" w:tplc="75B8B534">
      <w:numFmt w:val="none"/>
      <w:lvlText w:val=""/>
      <w:lvlJc w:val="left"/>
      <w:pPr>
        <w:tabs>
          <w:tab w:val="num" w:pos="360"/>
        </w:tabs>
      </w:pPr>
    </w:lvl>
    <w:lvl w:ilvl="2" w:tplc="E196D620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i w:val="0"/>
      </w:rPr>
    </w:lvl>
    <w:lvl w:ilvl="3" w:tplc="6116DFC6">
      <w:numFmt w:val="none"/>
      <w:lvlText w:val=""/>
      <w:lvlJc w:val="left"/>
      <w:pPr>
        <w:tabs>
          <w:tab w:val="num" w:pos="360"/>
        </w:tabs>
      </w:pPr>
    </w:lvl>
    <w:lvl w:ilvl="4" w:tplc="2E7EFD94">
      <w:numFmt w:val="none"/>
      <w:lvlText w:val=""/>
      <w:lvlJc w:val="left"/>
      <w:pPr>
        <w:tabs>
          <w:tab w:val="num" w:pos="360"/>
        </w:tabs>
      </w:pPr>
    </w:lvl>
    <w:lvl w:ilvl="5" w:tplc="A3A8D25E">
      <w:numFmt w:val="none"/>
      <w:lvlText w:val=""/>
      <w:lvlJc w:val="left"/>
      <w:pPr>
        <w:tabs>
          <w:tab w:val="num" w:pos="360"/>
        </w:tabs>
      </w:pPr>
    </w:lvl>
    <w:lvl w:ilvl="6" w:tplc="DAA2F0F0">
      <w:numFmt w:val="none"/>
      <w:lvlText w:val=""/>
      <w:lvlJc w:val="left"/>
      <w:pPr>
        <w:tabs>
          <w:tab w:val="num" w:pos="360"/>
        </w:tabs>
      </w:pPr>
    </w:lvl>
    <w:lvl w:ilvl="7" w:tplc="D94A8708">
      <w:numFmt w:val="none"/>
      <w:lvlText w:val=""/>
      <w:lvlJc w:val="left"/>
      <w:pPr>
        <w:tabs>
          <w:tab w:val="num" w:pos="360"/>
        </w:tabs>
      </w:pPr>
    </w:lvl>
    <w:lvl w:ilvl="8" w:tplc="C7CEA92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40">
    <w:nsid w:val="74AA7C6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E77FCE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2D44E4"/>
    <w:multiLevelType w:val="hybridMultilevel"/>
    <w:tmpl w:val="21DA28C8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CA2200B"/>
    <w:multiLevelType w:val="hybridMultilevel"/>
    <w:tmpl w:val="74764A7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196D620">
      <w:start w:val="1"/>
      <w:numFmt w:val="decimal"/>
      <w:isLgl/>
      <w:lvlText w:val="%2.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4">
    <w:nsid w:val="7FD15B11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8"/>
  </w:num>
  <w:num w:numId="3">
    <w:abstractNumId w:val="6"/>
  </w:num>
  <w:num w:numId="4">
    <w:abstractNumId w:val="22"/>
  </w:num>
  <w:num w:numId="5">
    <w:abstractNumId w:val="24"/>
  </w:num>
  <w:num w:numId="6">
    <w:abstractNumId w:val="37"/>
  </w:num>
  <w:num w:numId="7">
    <w:abstractNumId w:val="33"/>
  </w:num>
  <w:num w:numId="8">
    <w:abstractNumId w:val="39"/>
  </w:num>
  <w:num w:numId="9">
    <w:abstractNumId w:val="5"/>
  </w:num>
  <w:num w:numId="10">
    <w:abstractNumId w:val="35"/>
  </w:num>
  <w:num w:numId="11">
    <w:abstractNumId w:val="1"/>
  </w:num>
  <w:num w:numId="12">
    <w:abstractNumId w:val="34"/>
  </w:num>
  <w:num w:numId="13">
    <w:abstractNumId w:val="7"/>
  </w:num>
  <w:num w:numId="14">
    <w:abstractNumId w:val="42"/>
  </w:num>
  <w:num w:numId="15">
    <w:abstractNumId w:val="14"/>
  </w:num>
  <w:num w:numId="16">
    <w:abstractNumId w:val="27"/>
  </w:num>
  <w:num w:numId="17">
    <w:abstractNumId w:val="9"/>
  </w:num>
  <w:num w:numId="18">
    <w:abstractNumId w:val="31"/>
  </w:num>
  <w:num w:numId="19">
    <w:abstractNumId w:val="32"/>
  </w:num>
  <w:num w:numId="20">
    <w:abstractNumId w:val="36"/>
  </w:num>
  <w:num w:numId="21">
    <w:abstractNumId w:val="41"/>
  </w:num>
  <w:num w:numId="22">
    <w:abstractNumId w:val="43"/>
  </w:num>
  <w:num w:numId="23">
    <w:abstractNumId w:val="3"/>
  </w:num>
  <w:num w:numId="24">
    <w:abstractNumId w:val="2"/>
  </w:num>
  <w:num w:numId="25">
    <w:abstractNumId w:val="11"/>
  </w:num>
  <w:num w:numId="26">
    <w:abstractNumId w:val="15"/>
  </w:num>
  <w:num w:numId="27">
    <w:abstractNumId w:val="13"/>
  </w:num>
  <w:num w:numId="28">
    <w:abstractNumId w:val="4"/>
  </w:num>
  <w:num w:numId="29">
    <w:abstractNumId w:val="26"/>
  </w:num>
  <w:num w:numId="30">
    <w:abstractNumId w:val="20"/>
  </w:num>
  <w:num w:numId="31">
    <w:abstractNumId w:val="21"/>
  </w:num>
  <w:num w:numId="32">
    <w:abstractNumId w:val="16"/>
  </w:num>
  <w:num w:numId="33">
    <w:abstractNumId w:val="10"/>
  </w:num>
  <w:num w:numId="34">
    <w:abstractNumId w:val="0"/>
  </w:num>
  <w:num w:numId="35">
    <w:abstractNumId w:val="25"/>
  </w:num>
  <w:num w:numId="36">
    <w:abstractNumId w:val="18"/>
  </w:num>
  <w:num w:numId="37">
    <w:abstractNumId w:val="12"/>
  </w:num>
  <w:num w:numId="38">
    <w:abstractNumId w:val="28"/>
  </w:num>
  <w:num w:numId="39">
    <w:abstractNumId w:val="30"/>
  </w:num>
  <w:num w:numId="40">
    <w:abstractNumId w:val="17"/>
  </w:num>
  <w:num w:numId="41">
    <w:abstractNumId w:val="19"/>
  </w:num>
  <w:num w:numId="42">
    <w:abstractNumId w:val="40"/>
  </w:num>
  <w:num w:numId="43">
    <w:abstractNumId w:val="44"/>
  </w:num>
  <w:num w:numId="44">
    <w:abstractNumId w:val="2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56F2"/>
    <w:rsid w:val="00002BB1"/>
    <w:rsid w:val="00006436"/>
    <w:rsid w:val="00010BDB"/>
    <w:rsid w:val="0002440B"/>
    <w:rsid w:val="00050C4D"/>
    <w:rsid w:val="00056F93"/>
    <w:rsid w:val="00057308"/>
    <w:rsid w:val="0005765C"/>
    <w:rsid w:val="00063664"/>
    <w:rsid w:val="00070A6B"/>
    <w:rsid w:val="0007424D"/>
    <w:rsid w:val="0007582B"/>
    <w:rsid w:val="00080D9F"/>
    <w:rsid w:val="00082A81"/>
    <w:rsid w:val="000837C4"/>
    <w:rsid w:val="000929C8"/>
    <w:rsid w:val="0009447E"/>
    <w:rsid w:val="00095903"/>
    <w:rsid w:val="000B3DFD"/>
    <w:rsid w:val="000D7B5C"/>
    <w:rsid w:val="000F1B02"/>
    <w:rsid w:val="00104D4D"/>
    <w:rsid w:val="00110C9A"/>
    <w:rsid w:val="00112AB4"/>
    <w:rsid w:val="00121A96"/>
    <w:rsid w:val="001315BD"/>
    <w:rsid w:val="00133A97"/>
    <w:rsid w:val="00135714"/>
    <w:rsid w:val="0013790E"/>
    <w:rsid w:val="001401CB"/>
    <w:rsid w:val="00140514"/>
    <w:rsid w:val="00156164"/>
    <w:rsid w:val="001631BA"/>
    <w:rsid w:val="001804D0"/>
    <w:rsid w:val="00191436"/>
    <w:rsid w:val="001925DF"/>
    <w:rsid w:val="001A302F"/>
    <w:rsid w:val="001A577F"/>
    <w:rsid w:val="001B6543"/>
    <w:rsid w:val="001B6D4C"/>
    <w:rsid w:val="001F02FB"/>
    <w:rsid w:val="001F132B"/>
    <w:rsid w:val="001F5D5A"/>
    <w:rsid w:val="00203190"/>
    <w:rsid w:val="002068C7"/>
    <w:rsid w:val="002125D7"/>
    <w:rsid w:val="00215C79"/>
    <w:rsid w:val="00223BED"/>
    <w:rsid w:val="00232D75"/>
    <w:rsid w:val="00240400"/>
    <w:rsid w:val="0027132D"/>
    <w:rsid w:val="00281F7A"/>
    <w:rsid w:val="00287076"/>
    <w:rsid w:val="002A1E25"/>
    <w:rsid w:val="002D4F8D"/>
    <w:rsid w:val="002E0692"/>
    <w:rsid w:val="002E2E81"/>
    <w:rsid w:val="002F0DE6"/>
    <w:rsid w:val="0030021F"/>
    <w:rsid w:val="003072C7"/>
    <w:rsid w:val="003076BC"/>
    <w:rsid w:val="00332EED"/>
    <w:rsid w:val="0033598C"/>
    <w:rsid w:val="00354398"/>
    <w:rsid w:val="00377E2F"/>
    <w:rsid w:val="00385E54"/>
    <w:rsid w:val="00391D91"/>
    <w:rsid w:val="00392108"/>
    <w:rsid w:val="003B4B7F"/>
    <w:rsid w:val="003E1A60"/>
    <w:rsid w:val="003E6AE2"/>
    <w:rsid w:val="003F126D"/>
    <w:rsid w:val="003F65E9"/>
    <w:rsid w:val="003F68A6"/>
    <w:rsid w:val="00400F39"/>
    <w:rsid w:val="00401FD2"/>
    <w:rsid w:val="0040508E"/>
    <w:rsid w:val="004052EB"/>
    <w:rsid w:val="004071FA"/>
    <w:rsid w:val="004079AB"/>
    <w:rsid w:val="00441344"/>
    <w:rsid w:val="004549AE"/>
    <w:rsid w:val="004747F6"/>
    <w:rsid w:val="00475C94"/>
    <w:rsid w:val="004934D8"/>
    <w:rsid w:val="004B0683"/>
    <w:rsid w:val="004B0A97"/>
    <w:rsid w:val="004B19BD"/>
    <w:rsid w:val="004B5BBB"/>
    <w:rsid w:val="004B7FF8"/>
    <w:rsid w:val="004C3C8A"/>
    <w:rsid w:val="004D2BD8"/>
    <w:rsid w:val="00502B2B"/>
    <w:rsid w:val="005129FE"/>
    <w:rsid w:val="00543CC5"/>
    <w:rsid w:val="00553B38"/>
    <w:rsid w:val="0055551F"/>
    <w:rsid w:val="0056252E"/>
    <w:rsid w:val="00564DC4"/>
    <w:rsid w:val="00567104"/>
    <w:rsid w:val="00573337"/>
    <w:rsid w:val="005759B5"/>
    <w:rsid w:val="00583A81"/>
    <w:rsid w:val="0059183E"/>
    <w:rsid w:val="00593556"/>
    <w:rsid w:val="005949B1"/>
    <w:rsid w:val="005A31B7"/>
    <w:rsid w:val="005D14A3"/>
    <w:rsid w:val="005D3BC9"/>
    <w:rsid w:val="005E027E"/>
    <w:rsid w:val="005E7644"/>
    <w:rsid w:val="005F3803"/>
    <w:rsid w:val="005F6B4C"/>
    <w:rsid w:val="006211E9"/>
    <w:rsid w:val="00625186"/>
    <w:rsid w:val="0063267A"/>
    <w:rsid w:val="006405CB"/>
    <w:rsid w:val="006604B8"/>
    <w:rsid w:val="00670FB4"/>
    <w:rsid w:val="00674C94"/>
    <w:rsid w:val="0068001D"/>
    <w:rsid w:val="0069243F"/>
    <w:rsid w:val="006931A3"/>
    <w:rsid w:val="00695368"/>
    <w:rsid w:val="006A59A2"/>
    <w:rsid w:val="006A77E3"/>
    <w:rsid w:val="006C1802"/>
    <w:rsid w:val="006C36D6"/>
    <w:rsid w:val="006C42E0"/>
    <w:rsid w:val="006D40DF"/>
    <w:rsid w:val="006D7166"/>
    <w:rsid w:val="006E21E9"/>
    <w:rsid w:val="006F0A1E"/>
    <w:rsid w:val="006F1BDC"/>
    <w:rsid w:val="0070163A"/>
    <w:rsid w:val="007071B2"/>
    <w:rsid w:val="007275E4"/>
    <w:rsid w:val="007339DA"/>
    <w:rsid w:val="007505AF"/>
    <w:rsid w:val="00750803"/>
    <w:rsid w:val="00756479"/>
    <w:rsid w:val="00774415"/>
    <w:rsid w:val="0078075F"/>
    <w:rsid w:val="007B0869"/>
    <w:rsid w:val="007B241C"/>
    <w:rsid w:val="007B6211"/>
    <w:rsid w:val="007B7341"/>
    <w:rsid w:val="007F279C"/>
    <w:rsid w:val="007F61A4"/>
    <w:rsid w:val="00804A96"/>
    <w:rsid w:val="00805C8A"/>
    <w:rsid w:val="0082159F"/>
    <w:rsid w:val="00825672"/>
    <w:rsid w:val="00840F49"/>
    <w:rsid w:val="00843B00"/>
    <w:rsid w:val="00850704"/>
    <w:rsid w:val="00851ED3"/>
    <w:rsid w:val="00852A38"/>
    <w:rsid w:val="00857D0E"/>
    <w:rsid w:val="008612DD"/>
    <w:rsid w:val="00861B41"/>
    <w:rsid w:val="008708E0"/>
    <w:rsid w:val="00876DFA"/>
    <w:rsid w:val="0089081D"/>
    <w:rsid w:val="0089440D"/>
    <w:rsid w:val="008B26F3"/>
    <w:rsid w:val="008B27E3"/>
    <w:rsid w:val="008B4EA5"/>
    <w:rsid w:val="008B731A"/>
    <w:rsid w:val="008C4F5C"/>
    <w:rsid w:val="008D0C27"/>
    <w:rsid w:val="008E58D4"/>
    <w:rsid w:val="008F3442"/>
    <w:rsid w:val="00922743"/>
    <w:rsid w:val="0094466C"/>
    <w:rsid w:val="0094664F"/>
    <w:rsid w:val="009545B8"/>
    <w:rsid w:val="009913D0"/>
    <w:rsid w:val="009A48DF"/>
    <w:rsid w:val="009B538A"/>
    <w:rsid w:val="009C1BD8"/>
    <w:rsid w:val="009D5368"/>
    <w:rsid w:val="009E4456"/>
    <w:rsid w:val="009E4EBF"/>
    <w:rsid w:val="009F3495"/>
    <w:rsid w:val="00A0437A"/>
    <w:rsid w:val="00A11B76"/>
    <w:rsid w:val="00A13395"/>
    <w:rsid w:val="00A155B0"/>
    <w:rsid w:val="00A246D6"/>
    <w:rsid w:val="00A320A5"/>
    <w:rsid w:val="00A3225C"/>
    <w:rsid w:val="00A34897"/>
    <w:rsid w:val="00A376BB"/>
    <w:rsid w:val="00A42118"/>
    <w:rsid w:val="00A55EEB"/>
    <w:rsid w:val="00A70C15"/>
    <w:rsid w:val="00A72897"/>
    <w:rsid w:val="00A83793"/>
    <w:rsid w:val="00A92C3A"/>
    <w:rsid w:val="00AA210C"/>
    <w:rsid w:val="00AB40B8"/>
    <w:rsid w:val="00AC56F2"/>
    <w:rsid w:val="00AD0BA5"/>
    <w:rsid w:val="00AD2AAD"/>
    <w:rsid w:val="00AD669A"/>
    <w:rsid w:val="00B101A0"/>
    <w:rsid w:val="00B14BCC"/>
    <w:rsid w:val="00B31725"/>
    <w:rsid w:val="00B346DE"/>
    <w:rsid w:val="00B45E50"/>
    <w:rsid w:val="00B50B8D"/>
    <w:rsid w:val="00B542D9"/>
    <w:rsid w:val="00B80C27"/>
    <w:rsid w:val="00B908EF"/>
    <w:rsid w:val="00BA5498"/>
    <w:rsid w:val="00BA7403"/>
    <w:rsid w:val="00BC1CC0"/>
    <w:rsid w:val="00BC3BBE"/>
    <w:rsid w:val="00BC6D1D"/>
    <w:rsid w:val="00BD3CC6"/>
    <w:rsid w:val="00BD7843"/>
    <w:rsid w:val="00C4281A"/>
    <w:rsid w:val="00C55442"/>
    <w:rsid w:val="00C84862"/>
    <w:rsid w:val="00C90A75"/>
    <w:rsid w:val="00CA5490"/>
    <w:rsid w:val="00CD0684"/>
    <w:rsid w:val="00CE6CFE"/>
    <w:rsid w:val="00D33CED"/>
    <w:rsid w:val="00D45B06"/>
    <w:rsid w:val="00D45F8E"/>
    <w:rsid w:val="00D47FD5"/>
    <w:rsid w:val="00D66B05"/>
    <w:rsid w:val="00D92000"/>
    <w:rsid w:val="00D97894"/>
    <w:rsid w:val="00DB05F7"/>
    <w:rsid w:val="00DE483A"/>
    <w:rsid w:val="00E33FAF"/>
    <w:rsid w:val="00E35727"/>
    <w:rsid w:val="00E42004"/>
    <w:rsid w:val="00E4380E"/>
    <w:rsid w:val="00E7073E"/>
    <w:rsid w:val="00E72942"/>
    <w:rsid w:val="00E83302"/>
    <w:rsid w:val="00E87663"/>
    <w:rsid w:val="00E87CD1"/>
    <w:rsid w:val="00EA2A24"/>
    <w:rsid w:val="00EA599C"/>
    <w:rsid w:val="00EB64D3"/>
    <w:rsid w:val="00EB7805"/>
    <w:rsid w:val="00ED1B28"/>
    <w:rsid w:val="00ED4D06"/>
    <w:rsid w:val="00EF216F"/>
    <w:rsid w:val="00F03E39"/>
    <w:rsid w:val="00F10CC3"/>
    <w:rsid w:val="00F16C06"/>
    <w:rsid w:val="00F204C1"/>
    <w:rsid w:val="00F343BB"/>
    <w:rsid w:val="00F42C60"/>
    <w:rsid w:val="00F709F3"/>
    <w:rsid w:val="00F71C70"/>
    <w:rsid w:val="00F7318A"/>
    <w:rsid w:val="00F93D11"/>
    <w:rsid w:val="00F95B01"/>
    <w:rsid w:val="00F95B56"/>
    <w:rsid w:val="00FA040F"/>
    <w:rsid w:val="00FB0D77"/>
    <w:rsid w:val="00FB3D87"/>
    <w:rsid w:val="00FB45A6"/>
    <w:rsid w:val="00FC0497"/>
    <w:rsid w:val="00FE112F"/>
    <w:rsid w:val="00FE6708"/>
    <w:rsid w:val="00FF339E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441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4415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5">
    <w:name w:val="Char Char5"/>
    <w:rsid w:val="00774415"/>
    <w:rPr>
      <w:rFonts w:ascii="Arial" w:eastAsia="Times New Roman" w:hAnsi="Arial" w:cs="Arial"/>
      <w:b/>
      <w:smallCaps/>
      <w:sz w:val="32"/>
      <w:szCs w:val="32"/>
      <w:lang w:eastAsia="cs-CZ"/>
    </w:rPr>
  </w:style>
  <w:style w:type="paragraph" w:customStyle="1" w:styleId="Smlouva">
    <w:name w:val="Smlouva"/>
    <w:rsid w:val="00774415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774415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774415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77441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774415"/>
    <w:pPr>
      <w:spacing w:before="600"/>
    </w:pPr>
    <w:rPr>
      <w:bCs/>
    </w:rPr>
  </w:style>
  <w:style w:type="paragraph" w:customStyle="1" w:styleId="Normln0">
    <w:name w:val="Normální~"/>
    <w:basedOn w:val="Normln"/>
    <w:rsid w:val="00774415"/>
    <w:pPr>
      <w:widowControl w:val="0"/>
    </w:pPr>
    <w:rPr>
      <w:szCs w:val="20"/>
    </w:rPr>
  </w:style>
  <w:style w:type="paragraph" w:styleId="Zkladntext">
    <w:name w:val="Body Text"/>
    <w:basedOn w:val="Normln"/>
    <w:link w:val="ZkladntextChar"/>
    <w:rsid w:val="00774415"/>
    <w:rPr>
      <w:snapToGrid w:val="0"/>
      <w:color w:val="000000"/>
      <w:szCs w:val="20"/>
    </w:rPr>
  </w:style>
  <w:style w:type="character" w:customStyle="1" w:styleId="CharChar4">
    <w:name w:val="Char Char4"/>
    <w:rsid w:val="0077441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rsid w:val="00774415"/>
    <w:pPr>
      <w:tabs>
        <w:tab w:val="center" w:pos="4536"/>
        <w:tab w:val="right" w:pos="9072"/>
      </w:tabs>
    </w:pPr>
  </w:style>
  <w:style w:type="character" w:customStyle="1" w:styleId="CharChar3">
    <w:name w:val="Char Char3"/>
    <w:rsid w:val="007744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74415"/>
  </w:style>
  <w:style w:type="paragraph" w:customStyle="1" w:styleId="Char">
    <w:name w:val="Char"/>
    <w:basedOn w:val="Nadpis1"/>
    <w:rsid w:val="00774415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platne1">
    <w:name w:val="platne1"/>
    <w:basedOn w:val="Standardnpsmoodstavce"/>
    <w:rsid w:val="00774415"/>
  </w:style>
  <w:style w:type="paragraph" w:customStyle="1" w:styleId="Odstavecseseznamem1">
    <w:name w:val="Odstavec se seznamem1"/>
    <w:basedOn w:val="Normln"/>
    <w:qFormat/>
    <w:rsid w:val="00774415"/>
    <w:pPr>
      <w:ind w:left="720"/>
      <w:contextualSpacing/>
    </w:pPr>
  </w:style>
  <w:style w:type="character" w:styleId="Odkaznakoment">
    <w:name w:val="annotation reference"/>
    <w:semiHidden/>
    <w:unhideWhenUsed/>
    <w:rsid w:val="00774415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74415"/>
    <w:rPr>
      <w:sz w:val="20"/>
      <w:szCs w:val="20"/>
    </w:rPr>
  </w:style>
  <w:style w:type="character" w:customStyle="1" w:styleId="CharChar2">
    <w:name w:val="Char Char2"/>
    <w:semiHidden/>
    <w:rsid w:val="0077441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774415"/>
    <w:rPr>
      <w:b/>
      <w:bCs/>
    </w:rPr>
  </w:style>
  <w:style w:type="character" w:customStyle="1" w:styleId="CharChar1">
    <w:name w:val="Char Char1"/>
    <w:semiHidden/>
    <w:rsid w:val="00774415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semiHidden/>
    <w:unhideWhenUsed/>
    <w:rsid w:val="00774415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774415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774415"/>
    <w:rPr>
      <w:color w:val="0000FF"/>
      <w:u w:val="single"/>
    </w:rPr>
  </w:style>
  <w:style w:type="paragraph" w:styleId="Normlnweb">
    <w:name w:val="Normal (Web)"/>
    <w:basedOn w:val="Normln"/>
    <w:rsid w:val="00774415"/>
    <w:pPr>
      <w:suppressAutoHyphens/>
      <w:spacing w:before="280" w:after="119"/>
    </w:pPr>
    <w:rPr>
      <w:rFonts w:eastAsia="SimSun"/>
      <w:lang w:eastAsia="ar-SA"/>
    </w:rPr>
  </w:style>
  <w:style w:type="paragraph" w:customStyle="1" w:styleId="Odstavecseseznamem2">
    <w:name w:val="Odstavec se seznamem2"/>
    <w:basedOn w:val="Normln"/>
    <w:uiPriority w:val="34"/>
    <w:qFormat/>
    <w:rsid w:val="00A34897"/>
    <w:pPr>
      <w:ind w:left="708"/>
    </w:pPr>
  </w:style>
  <w:style w:type="paragraph" w:customStyle="1" w:styleId="CharCharCharChar">
    <w:name w:val="Char Char Char Char"/>
    <w:basedOn w:val="Normln"/>
    <w:rsid w:val="0077441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kladntextChar">
    <w:name w:val="Základní text Char"/>
    <w:link w:val="Zkladntext"/>
    <w:rsid w:val="00A34897"/>
    <w:rPr>
      <w:rFonts w:ascii="Times New Roman" w:eastAsia="Times New Roman" w:hAnsi="Times New Roman"/>
      <w:snapToGrid w:val="0"/>
      <w:color w:val="000000"/>
      <w:sz w:val="24"/>
      <w:lang w:val="cs-CZ" w:eastAsia="cs-CZ"/>
    </w:rPr>
  </w:style>
  <w:style w:type="paragraph" w:customStyle="1" w:styleId="Nadpis21">
    <w:name w:val="Nadpis 21"/>
    <w:basedOn w:val="Normln"/>
    <w:qFormat/>
    <w:rsid w:val="000837C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styleId="Zhlav">
    <w:name w:val="header"/>
    <w:basedOn w:val="Normln"/>
    <w:link w:val="ZhlavChar"/>
    <w:rsid w:val="0008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837C4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3442"/>
    <w:pPr>
      <w:numPr>
        <w:ilvl w:val="1"/>
        <w:numId w:val="45"/>
      </w:numPr>
      <w:tabs>
        <w:tab w:val="left" w:pos="720"/>
      </w:tabs>
      <w:spacing w:after="120"/>
      <w:ind w:left="1021" w:hanging="567"/>
      <w:jc w:val="both"/>
    </w:pPr>
    <w:rPr>
      <w:rFonts w:ascii="Tahoma" w:hAnsi="Tahoma" w:cs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2304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OBCHODNÍ PODMÍNKY</vt:lpstr>
      <vt:lpstr>OBCHODNÍ PODMÍNKY</vt:lpstr>
    </vt:vector>
  </TitlesOfParts>
  <Company>Město Fulnek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admin</dc:creator>
  <cp:lastModifiedBy>Obec Snovídky</cp:lastModifiedBy>
  <cp:revision>7</cp:revision>
  <cp:lastPrinted>2016-08-18T11:08:00Z</cp:lastPrinted>
  <dcterms:created xsi:type="dcterms:W3CDTF">2016-06-24T14:10:00Z</dcterms:created>
  <dcterms:modified xsi:type="dcterms:W3CDTF">2016-08-18T12:12:00Z</dcterms:modified>
</cp:coreProperties>
</file>